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2"/>
          <w:szCs w:val="32"/>
        </w:rPr>
      </w:pPr>
      <w:r>
        <w:rPr>
          <w:rFonts w:hint="eastAsia" w:eastAsia="黑体"/>
          <w:sz w:val="32"/>
          <w:szCs w:val="32"/>
        </w:rPr>
        <w:t>学前教育专业认证标准注释</w:t>
      </w:r>
    </w:p>
    <w:p>
      <w:pPr>
        <w:pStyle w:val="5"/>
        <w:widowControl w:val="0"/>
        <w:adjustRightInd w:val="0"/>
        <w:snapToGrid w:val="0"/>
        <w:spacing w:before="0" w:beforeAutospacing="0" w:after="0" w:afterAutospacing="0" w:line="460" w:lineRule="exact"/>
        <w:jc w:val="both"/>
        <w:rPr>
          <w:rFonts w:ascii="Times New Roman" w:hAnsi="Times New Roman" w:eastAsia="黑体" w:cs="Times New Roman"/>
          <w:sz w:val="28"/>
          <w:szCs w:val="28"/>
        </w:rPr>
      </w:pPr>
      <w:r>
        <w:rPr>
          <w:rStyle w:val="8"/>
          <w:rFonts w:ascii="Times New Roman" w:hAnsi="Times New Roman" w:cs="Times New Roman"/>
          <w:sz w:val="28"/>
          <w:szCs w:val="28"/>
        </w:rPr>
        <w:t xml:space="preserve">[1] </w:t>
      </w:r>
      <w:r>
        <w:rPr>
          <w:rFonts w:hint="eastAsia" w:ascii="Times New Roman" w:hAnsi="Times New Roman" w:eastAsia="黑体" w:cs="Times New Roman"/>
          <w:bCs/>
          <w:sz w:val="28"/>
          <w:szCs w:val="28"/>
        </w:rPr>
        <w:t>教师教育课程学分</w:t>
      </w:r>
    </w:p>
    <w:p>
      <w:pPr>
        <w:pStyle w:val="5"/>
        <w:widowControl w:val="0"/>
        <w:adjustRightInd w:val="0"/>
        <w:snapToGrid w:val="0"/>
        <w:spacing w:before="0" w:beforeAutospacing="0" w:after="0" w:afterAutospacing="0" w:line="460" w:lineRule="exact"/>
        <w:ind w:firstLine="560" w:firstLineChars="200"/>
        <w:jc w:val="both"/>
        <w:rPr>
          <w:rFonts w:ascii="Times New Roman" w:hAnsi="Times New Roman" w:cs="Times New Roman"/>
          <w:sz w:val="28"/>
          <w:szCs w:val="28"/>
        </w:rPr>
      </w:pPr>
      <w:r>
        <w:rPr>
          <w:rFonts w:hint="eastAsia" w:ascii="Times New Roman" w:hAnsi="Times New Roman" w:eastAsia="楷体" w:cs="Times New Roman"/>
          <w:kern w:val="2"/>
          <w:sz w:val="28"/>
          <w:szCs w:val="28"/>
        </w:rPr>
        <w:t>根据教师教育课程标准制定。</w:t>
      </w:r>
      <w:r>
        <w:rPr>
          <w:rFonts w:ascii="Times New Roman" w:hAnsi="Times New Roman" w:eastAsia="楷体" w:cs="Times New Roman"/>
          <w:sz w:val="28"/>
          <w:szCs w:val="28"/>
        </w:rPr>
        <w:t>1</w:t>
      </w:r>
      <w:r>
        <w:rPr>
          <w:rFonts w:hint="eastAsia" w:ascii="Times New Roman" w:hAnsi="Times New Roman" w:eastAsia="楷体" w:cs="Times New Roman"/>
          <w:sz w:val="28"/>
          <w:szCs w:val="28"/>
        </w:rPr>
        <w:t>学分相当于学生在教师指导下进行课程学习</w:t>
      </w:r>
      <w:r>
        <w:rPr>
          <w:rFonts w:ascii="Times New Roman" w:hAnsi="Times New Roman" w:eastAsia="楷体" w:cs="Times New Roman"/>
          <w:sz w:val="28"/>
          <w:szCs w:val="28"/>
        </w:rPr>
        <w:t xml:space="preserve"> 18 </w:t>
      </w:r>
      <w:r>
        <w:rPr>
          <w:rFonts w:hint="eastAsia" w:ascii="Times New Roman" w:hAnsi="Times New Roman" w:eastAsia="楷体" w:cs="Times New Roman"/>
          <w:sz w:val="28"/>
          <w:szCs w:val="28"/>
        </w:rPr>
        <w:t>课时，并经考核合格。</w:t>
      </w:r>
    </w:p>
    <w:p>
      <w:pPr>
        <w:pStyle w:val="5"/>
        <w:widowControl w:val="0"/>
        <w:adjustRightInd w:val="0"/>
        <w:snapToGrid w:val="0"/>
        <w:spacing w:before="0" w:beforeAutospacing="0" w:after="0" w:afterAutospacing="0" w:line="460" w:lineRule="exact"/>
        <w:jc w:val="both"/>
        <w:rPr>
          <w:rFonts w:ascii="Times New Roman" w:hAnsi="Times New Roman" w:cs="Times New Roman"/>
          <w:bCs/>
          <w:sz w:val="28"/>
          <w:szCs w:val="28"/>
        </w:rPr>
      </w:pPr>
      <w:r>
        <w:rPr>
          <w:rStyle w:val="8"/>
          <w:rFonts w:ascii="Times New Roman" w:hAnsi="Times New Roman" w:cs="Times New Roman"/>
          <w:sz w:val="28"/>
          <w:szCs w:val="28"/>
        </w:rPr>
        <w:t>[2]</w:t>
      </w:r>
      <w:r>
        <w:rPr>
          <w:rFonts w:ascii="Times New Roman" w:hAnsi="Times New Roman" w:cs="Times New Roman"/>
          <w:sz w:val="28"/>
          <w:szCs w:val="28"/>
        </w:rPr>
        <w:t xml:space="preserve"> </w:t>
      </w:r>
      <w:r>
        <w:rPr>
          <w:rFonts w:hint="eastAsia" w:ascii="Times New Roman" w:hAnsi="Times New Roman" w:eastAsia="黑体" w:cs="Times New Roman"/>
          <w:bCs/>
          <w:sz w:val="28"/>
          <w:szCs w:val="28"/>
        </w:rPr>
        <w:t>教育实践时间</w:t>
      </w:r>
    </w:p>
    <w:p>
      <w:pPr>
        <w:pStyle w:val="5"/>
        <w:widowControl w:val="0"/>
        <w:adjustRightInd w:val="0"/>
        <w:snapToGrid w:val="0"/>
        <w:spacing w:before="0" w:beforeAutospacing="0" w:after="0" w:afterAutospacing="0" w:line="460" w:lineRule="exact"/>
        <w:ind w:firstLine="560" w:firstLineChars="200"/>
        <w:jc w:val="both"/>
        <w:rPr>
          <w:rFonts w:ascii="Times New Roman" w:hAnsi="Times New Roman" w:cs="Times New Roman"/>
          <w:sz w:val="28"/>
          <w:szCs w:val="28"/>
        </w:rPr>
      </w:pPr>
      <w:r>
        <w:rPr>
          <w:rFonts w:hint="eastAsia" w:ascii="Times New Roman" w:hAnsi="Times New Roman" w:eastAsia="楷体" w:cs="Times New Roman"/>
          <w:kern w:val="2"/>
          <w:sz w:val="28"/>
          <w:szCs w:val="28"/>
        </w:rPr>
        <w:t>根据教师教育课程标准和教育部关于加强师范生教育实践的意见要求制定。教育实践包括教育见习、教育实习、教育研习等环节，教育实践一学期指</w:t>
      </w:r>
      <w:r>
        <w:rPr>
          <w:rFonts w:ascii="Times New Roman" w:hAnsi="Times New Roman" w:eastAsia="楷体" w:cs="Times New Roman"/>
          <w:kern w:val="2"/>
          <w:sz w:val="28"/>
          <w:szCs w:val="28"/>
        </w:rPr>
        <w:t>18</w:t>
      </w:r>
      <w:r>
        <w:rPr>
          <w:rFonts w:hint="eastAsia" w:ascii="Times New Roman" w:hAnsi="Times New Roman" w:eastAsia="楷体" w:cs="Times New Roman"/>
          <w:kern w:val="2"/>
          <w:sz w:val="28"/>
          <w:szCs w:val="28"/>
        </w:rPr>
        <w:t>个教学周。</w:t>
      </w:r>
    </w:p>
    <w:p>
      <w:pPr>
        <w:pStyle w:val="5"/>
        <w:widowControl w:val="0"/>
        <w:adjustRightInd w:val="0"/>
        <w:snapToGrid w:val="0"/>
        <w:spacing w:before="0" w:beforeAutospacing="0" w:after="0" w:afterAutospacing="0" w:line="460" w:lineRule="exact"/>
        <w:jc w:val="both"/>
        <w:rPr>
          <w:rFonts w:ascii="Times New Roman" w:hAnsi="Times New Roman" w:cs="Times New Roman"/>
          <w:sz w:val="28"/>
          <w:szCs w:val="28"/>
        </w:rPr>
      </w:pPr>
      <w:r>
        <w:rPr>
          <w:rStyle w:val="8"/>
          <w:rFonts w:ascii="Times New Roman" w:hAnsi="Times New Roman" w:cs="Times New Roman"/>
          <w:sz w:val="28"/>
          <w:szCs w:val="28"/>
        </w:rPr>
        <w:t>[3]</w:t>
      </w:r>
      <w:r>
        <w:rPr>
          <w:rFonts w:ascii="Times New Roman" w:hAnsi="Times New Roman" w:cs="Times New Roman"/>
          <w:sz w:val="28"/>
          <w:szCs w:val="28"/>
        </w:rPr>
        <w:t xml:space="preserve"> </w:t>
      </w:r>
      <w:r>
        <w:rPr>
          <w:rFonts w:hint="eastAsia" w:ascii="Times New Roman" w:hAnsi="Times New Roman" w:eastAsia="黑体" w:cs="Times New Roman"/>
          <w:bCs/>
          <w:sz w:val="28"/>
          <w:szCs w:val="28"/>
        </w:rPr>
        <w:t>实习生</w:t>
      </w:r>
      <w:r>
        <w:rPr>
          <w:rFonts w:ascii="Times New Roman" w:hAnsi="Times New Roman" w:cs="Times New Roman"/>
          <w:sz w:val="28"/>
          <w:szCs w:val="28"/>
        </w:rPr>
        <w:t xml:space="preserve"> </w:t>
      </w:r>
    </w:p>
    <w:p>
      <w:pPr>
        <w:pStyle w:val="5"/>
        <w:widowControl w:val="0"/>
        <w:adjustRightInd w:val="0"/>
        <w:snapToGrid w:val="0"/>
        <w:spacing w:before="0" w:beforeAutospacing="0" w:after="0" w:afterAutospacing="0" w:line="460" w:lineRule="exact"/>
        <w:ind w:firstLine="560" w:firstLineChars="200"/>
        <w:jc w:val="both"/>
        <w:rPr>
          <w:rFonts w:ascii="Times New Roman" w:hAnsi="Times New Roman" w:cs="Times New Roman"/>
          <w:sz w:val="28"/>
          <w:szCs w:val="28"/>
        </w:rPr>
      </w:pPr>
      <w:r>
        <w:rPr>
          <w:rFonts w:hint="eastAsia" w:ascii="Times New Roman" w:hAnsi="Times New Roman" w:eastAsia="楷体" w:cs="Times New Roman"/>
          <w:bCs/>
          <w:kern w:val="2"/>
          <w:sz w:val="28"/>
          <w:szCs w:val="28"/>
        </w:rPr>
        <w:t>实习生指参加教育实习的本专科生。</w:t>
      </w:r>
    </w:p>
    <w:p>
      <w:pPr>
        <w:pStyle w:val="2"/>
        <w:adjustRightInd w:val="0"/>
        <w:spacing w:line="460" w:lineRule="exact"/>
        <w:jc w:val="both"/>
        <w:rPr>
          <w:rFonts w:ascii="Times New Roman" w:hAnsi="Times New Roman" w:eastAsia="黑体"/>
          <w:sz w:val="28"/>
          <w:szCs w:val="28"/>
        </w:rPr>
      </w:pPr>
      <w:r>
        <w:rPr>
          <w:rStyle w:val="8"/>
          <w:rFonts w:ascii="Times New Roman" w:hAnsi="Times New Roman"/>
          <w:sz w:val="28"/>
          <w:szCs w:val="28"/>
        </w:rPr>
        <w:t>[4]</w:t>
      </w:r>
      <w:r>
        <w:rPr>
          <w:rFonts w:ascii="Times New Roman" w:hAnsi="Times New Roman"/>
          <w:sz w:val="28"/>
          <w:szCs w:val="28"/>
        </w:rPr>
        <w:t xml:space="preserve"> </w:t>
      </w:r>
      <w:r>
        <w:rPr>
          <w:rFonts w:hint="eastAsia" w:ascii="Times New Roman" w:hAnsi="Times New Roman" w:eastAsia="黑体"/>
          <w:bCs/>
          <w:sz w:val="28"/>
          <w:szCs w:val="28"/>
        </w:rPr>
        <w:t>教育实践基地</w:t>
      </w:r>
    </w:p>
    <w:p>
      <w:pPr>
        <w:pStyle w:val="5"/>
        <w:widowControl w:val="0"/>
        <w:adjustRightInd w:val="0"/>
        <w:snapToGrid w:val="0"/>
        <w:spacing w:before="0" w:beforeAutospacing="0" w:after="0" w:afterAutospacing="0" w:line="460" w:lineRule="exact"/>
        <w:ind w:firstLine="560" w:firstLineChars="200"/>
        <w:jc w:val="both"/>
        <w:rPr>
          <w:rFonts w:ascii="Times New Roman" w:hAnsi="Times New Roman" w:eastAsia="黑体" w:cs="Times New Roman"/>
          <w:sz w:val="28"/>
          <w:szCs w:val="28"/>
        </w:rPr>
      </w:pPr>
      <w:r>
        <w:rPr>
          <w:rFonts w:hint="eastAsia" w:ascii="Times New Roman" w:hAnsi="Times New Roman" w:eastAsia="楷体" w:cs="Times New Roman"/>
          <w:bCs/>
          <w:kern w:val="2"/>
          <w:sz w:val="28"/>
          <w:szCs w:val="28"/>
        </w:rPr>
        <w:t>教育实践基地指学校与校外有关单位签署协议，为本专业人才培养提供服务的相对稳定的校外教育见习、实习场所。</w:t>
      </w:r>
    </w:p>
    <w:p>
      <w:pPr>
        <w:pStyle w:val="2"/>
        <w:adjustRightInd w:val="0"/>
        <w:spacing w:line="460" w:lineRule="exact"/>
        <w:jc w:val="both"/>
        <w:rPr>
          <w:rFonts w:ascii="Times New Roman" w:hAnsi="Times New Roman" w:eastAsia="黑体"/>
          <w:sz w:val="28"/>
          <w:szCs w:val="28"/>
        </w:rPr>
      </w:pPr>
      <w:r>
        <w:rPr>
          <w:rStyle w:val="8"/>
          <w:rFonts w:ascii="Times New Roman" w:hAnsi="Times New Roman"/>
          <w:sz w:val="28"/>
          <w:szCs w:val="28"/>
        </w:rPr>
        <w:t>[5]</w:t>
      </w:r>
      <w:r>
        <w:rPr>
          <w:rFonts w:ascii="Times New Roman" w:hAnsi="Times New Roman"/>
          <w:sz w:val="28"/>
          <w:szCs w:val="28"/>
        </w:rPr>
        <w:t xml:space="preserve"> </w:t>
      </w:r>
      <w:r>
        <w:rPr>
          <w:rFonts w:hint="eastAsia" w:ascii="Times New Roman" w:hAnsi="Times New Roman" w:eastAsia="黑体"/>
          <w:bCs/>
          <w:sz w:val="28"/>
          <w:szCs w:val="28"/>
        </w:rPr>
        <w:t>生师比</w:t>
      </w:r>
    </w:p>
    <w:p>
      <w:pPr>
        <w:adjustRightInd w:val="0"/>
        <w:snapToGrid w:val="0"/>
        <w:spacing w:line="460" w:lineRule="exact"/>
        <w:ind w:firstLine="560" w:firstLineChars="200"/>
        <w:rPr>
          <w:rFonts w:eastAsia="楷体"/>
          <w:color w:val="000000" w:themeColor="text1"/>
          <w:sz w:val="28"/>
          <w:szCs w:val="28"/>
          <w14:textFill>
            <w14:solidFill>
              <w14:schemeClr w14:val="tx1"/>
            </w14:solidFill>
          </w14:textFill>
        </w:rPr>
      </w:pPr>
      <w:r>
        <w:rPr>
          <w:rFonts w:hint="eastAsia" w:eastAsia="楷体"/>
          <w:sz w:val="28"/>
          <w:szCs w:val="28"/>
        </w:rPr>
        <w:t>根据普通本科学校设置暂行规定相关内容制定。生师比</w:t>
      </w:r>
      <w:r>
        <w:rPr>
          <w:rFonts w:eastAsia="楷体"/>
          <w:sz w:val="28"/>
          <w:szCs w:val="28"/>
        </w:rPr>
        <w:t>=</w:t>
      </w:r>
      <w:r>
        <w:rPr>
          <w:rFonts w:hint="eastAsia" w:eastAsia="楷体"/>
          <w:sz w:val="28"/>
          <w:szCs w:val="28"/>
        </w:rPr>
        <w:t>折合学生数</w:t>
      </w:r>
      <w:r>
        <w:rPr>
          <w:rFonts w:eastAsia="楷体"/>
          <w:sz w:val="28"/>
          <w:szCs w:val="28"/>
        </w:rPr>
        <w:t>/</w:t>
      </w:r>
      <w:r>
        <w:rPr>
          <w:rFonts w:hint="eastAsia" w:eastAsia="楷体"/>
          <w:sz w:val="28"/>
          <w:szCs w:val="28"/>
        </w:rPr>
        <w:t>专业教师总数</w:t>
      </w:r>
      <w:r>
        <w:rPr>
          <w:rFonts w:hint="eastAsia" w:eastAsia="楷体"/>
          <w:bCs/>
          <w:sz w:val="28"/>
          <w:szCs w:val="28"/>
        </w:rPr>
        <w:t>。其中，折合学生数</w:t>
      </w:r>
      <w:r>
        <w:rPr>
          <w:rFonts w:eastAsia="楷体"/>
          <w:bCs/>
          <w:sz w:val="28"/>
          <w:szCs w:val="28"/>
        </w:rPr>
        <w:t>=</w:t>
      </w:r>
      <w:r>
        <w:rPr>
          <w:rFonts w:hint="eastAsia" w:eastAsia="楷体"/>
          <w:bCs/>
          <w:sz w:val="28"/>
          <w:szCs w:val="28"/>
        </w:rPr>
        <w:t>师范专业普通本、专科生</w:t>
      </w:r>
      <w:bookmarkStart w:id="0" w:name="_GoBack"/>
      <w:bookmarkEnd w:id="0"/>
      <w:r>
        <w:rPr>
          <w:rFonts w:hint="eastAsia" w:eastAsia="楷体"/>
          <w:bCs/>
          <w:sz w:val="28"/>
          <w:szCs w:val="28"/>
        </w:rPr>
        <w:t>数</w:t>
      </w:r>
      <w:r>
        <w:rPr>
          <w:rFonts w:eastAsia="楷体"/>
          <w:bCs/>
          <w:sz w:val="28"/>
          <w:szCs w:val="28"/>
        </w:rPr>
        <w:t>+</w:t>
      </w:r>
      <w:r>
        <w:rPr>
          <w:rFonts w:hint="eastAsia" w:eastAsia="楷体"/>
          <w:bCs/>
          <w:sz w:val="28"/>
          <w:szCs w:val="28"/>
        </w:rPr>
        <w:t>教育硕士生数</w:t>
      </w:r>
      <w:r>
        <w:rPr>
          <w:rFonts w:eastAsia="楷体"/>
          <w:bCs/>
          <w:sz w:val="28"/>
          <w:szCs w:val="28"/>
        </w:rPr>
        <w:t>*1.5+</w:t>
      </w:r>
      <w:r>
        <w:rPr>
          <w:rFonts w:hint="eastAsia" w:eastAsia="楷体"/>
          <w:bCs/>
          <w:sz w:val="28"/>
          <w:szCs w:val="28"/>
        </w:rPr>
        <w:t>教育博士生数</w:t>
      </w:r>
      <w:r>
        <w:rPr>
          <w:rFonts w:eastAsia="楷体"/>
          <w:bCs/>
          <w:sz w:val="28"/>
          <w:szCs w:val="28"/>
        </w:rPr>
        <w:t>*2+</w:t>
      </w:r>
      <w:r>
        <w:rPr>
          <w:rFonts w:hint="eastAsia" w:eastAsia="楷体"/>
          <w:bCs/>
          <w:sz w:val="28"/>
          <w:szCs w:val="28"/>
        </w:rPr>
        <w:t>留学生数</w:t>
      </w:r>
      <w:r>
        <w:rPr>
          <w:rFonts w:eastAsia="楷体"/>
          <w:bCs/>
          <w:sz w:val="28"/>
          <w:szCs w:val="28"/>
        </w:rPr>
        <w:t>*3 +</w:t>
      </w:r>
      <w:r>
        <w:rPr>
          <w:rFonts w:hint="eastAsia" w:eastAsia="楷体"/>
          <w:bCs/>
          <w:sz w:val="28"/>
          <w:szCs w:val="28"/>
        </w:rPr>
        <w:t>进修生数</w:t>
      </w:r>
      <w:r>
        <w:rPr>
          <w:rFonts w:eastAsia="楷体"/>
          <w:bCs/>
          <w:sz w:val="28"/>
          <w:szCs w:val="28"/>
        </w:rPr>
        <w:t>+</w:t>
      </w:r>
      <w:r>
        <w:rPr>
          <w:rFonts w:hint="eastAsia" w:eastAsia="楷体"/>
          <w:bCs/>
          <w:sz w:val="28"/>
          <w:szCs w:val="28"/>
        </w:rPr>
        <w:t>成人脱产班学生数</w:t>
      </w:r>
      <w:r>
        <w:rPr>
          <w:rFonts w:eastAsia="楷体"/>
          <w:bCs/>
          <w:sz w:val="28"/>
          <w:szCs w:val="28"/>
        </w:rPr>
        <w:t>+</w:t>
      </w:r>
      <w:r>
        <w:rPr>
          <w:rFonts w:hint="eastAsia" w:eastAsia="楷体"/>
          <w:bCs/>
          <w:sz w:val="28"/>
          <w:szCs w:val="28"/>
        </w:rPr>
        <w:t>夜大（业余）学生数</w:t>
      </w:r>
      <w:r>
        <w:rPr>
          <w:rFonts w:eastAsia="楷体"/>
          <w:bCs/>
          <w:sz w:val="28"/>
          <w:szCs w:val="28"/>
        </w:rPr>
        <w:t>*0.3+</w:t>
      </w:r>
      <w:r>
        <w:rPr>
          <w:rFonts w:hint="eastAsia" w:eastAsia="楷体"/>
          <w:bCs/>
          <w:sz w:val="28"/>
          <w:szCs w:val="28"/>
        </w:rPr>
        <w:t>函授生数</w:t>
      </w:r>
      <w:r>
        <w:rPr>
          <w:rFonts w:eastAsia="楷体"/>
          <w:bCs/>
          <w:sz w:val="28"/>
          <w:szCs w:val="28"/>
        </w:rPr>
        <w:t>*0.1</w:t>
      </w:r>
      <w:r>
        <w:rPr>
          <w:rFonts w:hint="eastAsia" w:eastAsia="楷体"/>
          <w:sz w:val="28"/>
          <w:szCs w:val="28"/>
        </w:rPr>
        <w:t>；</w:t>
      </w:r>
      <w:r>
        <w:rPr>
          <w:rFonts w:hint="eastAsia" w:eastAsia="楷体"/>
          <w:color w:val="auto"/>
          <w:sz w:val="28"/>
          <w:szCs w:val="28"/>
          <w:highlight w:val="none"/>
        </w:rPr>
        <w:t>专业教师总数</w:t>
      </w:r>
      <w:r>
        <w:rPr>
          <w:rFonts w:eastAsia="楷体"/>
          <w:color w:val="auto"/>
          <w:sz w:val="28"/>
          <w:szCs w:val="28"/>
          <w:highlight w:val="none"/>
        </w:rPr>
        <w:t>=</w:t>
      </w:r>
      <w:r>
        <w:rPr>
          <w:rFonts w:hint="eastAsia" w:eastAsia="楷体"/>
          <w:color w:val="auto"/>
          <w:sz w:val="28"/>
          <w:szCs w:val="28"/>
          <w:highlight w:val="none"/>
        </w:rPr>
        <w:t>专任教师数</w:t>
      </w:r>
      <w:r>
        <w:rPr>
          <w:rFonts w:eastAsia="楷体"/>
          <w:color w:val="auto"/>
          <w:sz w:val="28"/>
          <w:szCs w:val="28"/>
          <w:highlight w:val="none"/>
        </w:rPr>
        <w:t>+</w:t>
      </w:r>
      <w:r>
        <w:rPr>
          <w:rFonts w:hint="eastAsia" w:eastAsia="楷体"/>
          <w:color w:val="auto"/>
          <w:sz w:val="28"/>
          <w:szCs w:val="28"/>
          <w:highlight w:val="none"/>
        </w:rPr>
        <w:t>外聘教师数</w:t>
      </w:r>
      <w:r>
        <w:rPr>
          <w:rFonts w:eastAsia="楷体"/>
          <w:color w:val="auto"/>
          <w:sz w:val="28"/>
          <w:szCs w:val="28"/>
          <w:highlight w:val="none"/>
        </w:rPr>
        <w:t>*0.5</w:t>
      </w:r>
      <w:r>
        <w:rPr>
          <w:rFonts w:hint="eastAsia" w:eastAsia="楷体"/>
          <w:bCs/>
          <w:color w:val="auto"/>
          <w:sz w:val="28"/>
          <w:szCs w:val="28"/>
          <w:highlight w:val="none"/>
        </w:rPr>
        <w:t>。外聘教师指聘请的国内外其他高校、基础教育及科研机构、企业、行业的教师和退休教师（含本校退休教师），聘期为一学期以上。外聘教师按</w:t>
      </w:r>
      <w:r>
        <w:rPr>
          <w:rFonts w:eastAsia="楷体"/>
          <w:bCs/>
          <w:color w:val="auto"/>
          <w:sz w:val="28"/>
          <w:szCs w:val="28"/>
          <w:highlight w:val="none"/>
        </w:rPr>
        <w:t>0.5</w:t>
      </w:r>
      <w:r>
        <w:rPr>
          <w:rFonts w:hint="eastAsia" w:eastAsia="楷体"/>
          <w:bCs/>
          <w:color w:val="auto"/>
          <w:sz w:val="28"/>
          <w:szCs w:val="28"/>
          <w:highlight w:val="none"/>
        </w:rPr>
        <w:t>系数折算后计入教师总数，且人数不超过专任教师数的</w:t>
      </w:r>
      <w:r>
        <w:rPr>
          <w:rFonts w:eastAsia="楷体"/>
          <w:bCs/>
          <w:color w:val="auto"/>
          <w:sz w:val="28"/>
          <w:szCs w:val="28"/>
          <w:highlight w:val="none"/>
        </w:rPr>
        <w:t>25%</w:t>
      </w:r>
      <w:r>
        <w:rPr>
          <w:rFonts w:hint="eastAsia" w:eastAsia="楷体"/>
          <w:bCs/>
          <w:color w:val="auto"/>
          <w:sz w:val="28"/>
          <w:szCs w:val="28"/>
          <w:highlight w:val="none"/>
        </w:rPr>
        <w:t>。</w:t>
      </w:r>
      <w:r>
        <w:rPr>
          <w:rFonts w:hint="eastAsia" w:eastAsia="楷体"/>
          <w:color w:val="auto"/>
          <w:sz w:val="28"/>
          <w:szCs w:val="28"/>
          <w:highlight w:val="none"/>
        </w:rPr>
        <w:t>对于民办高校，自有教师</w:t>
      </w:r>
      <w:r>
        <w:rPr>
          <w:rFonts w:hint="eastAsia" w:eastAsia="楷体"/>
          <w:sz w:val="28"/>
          <w:szCs w:val="28"/>
        </w:rPr>
        <w:t>及外聘教师中聘期二年（含）以上并满足学校规定教学工作量的教师按</w:t>
      </w:r>
      <w:r>
        <w:rPr>
          <w:rFonts w:eastAsia="楷体"/>
          <w:sz w:val="28"/>
          <w:szCs w:val="28"/>
        </w:rPr>
        <w:t>1:1</w:t>
      </w:r>
      <w:r>
        <w:rPr>
          <w:rFonts w:hint="eastAsia" w:eastAsia="楷体"/>
          <w:sz w:val="28"/>
          <w:szCs w:val="28"/>
        </w:rPr>
        <w:t>计入专业教师，聘期一年至两年的外聘教师按</w:t>
      </w:r>
      <w:r>
        <w:rPr>
          <w:rFonts w:eastAsia="楷体"/>
          <w:sz w:val="28"/>
          <w:szCs w:val="28"/>
        </w:rPr>
        <w:t>0.5</w:t>
      </w:r>
      <w:r>
        <w:rPr>
          <w:rFonts w:hint="eastAsia" w:eastAsia="楷体"/>
          <w:sz w:val="28"/>
          <w:szCs w:val="28"/>
        </w:rPr>
        <w:t>系数折算后计入本专业教师总数，</w:t>
      </w:r>
      <w:r>
        <w:rPr>
          <w:rFonts w:hint="eastAsia" w:eastAsia="楷体"/>
          <w:color w:val="000000" w:themeColor="text1"/>
          <w:sz w:val="28"/>
          <w:szCs w:val="28"/>
          <w14:textFill>
            <w14:solidFill>
              <w14:schemeClr w14:val="tx1"/>
            </w14:solidFill>
          </w14:textFill>
        </w:rPr>
        <w:t>聘期不足一年的不计入专业教师总数。</w:t>
      </w:r>
    </w:p>
    <w:p>
      <w:pPr>
        <w:adjustRightInd w:val="0"/>
        <w:snapToGrid w:val="0"/>
        <w:spacing w:line="460" w:lineRule="exact"/>
        <w:rPr>
          <w:sz w:val="28"/>
          <w:szCs w:val="28"/>
        </w:rPr>
      </w:pPr>
      <w:r>
        <w:rPr>
          <w:rStyle w:val="8"/>
          <w:sz w:val="28"/>
          <w:szCs w:val="28"/>
        </w:rPr>
        <w:t>[6]</w:t>
      </w:r>
      <w:r>
        <w:rPr>
          <w:sz w:val="28"/>
          <w:szCs w:val="28"/>
        </w:rPr>
        <w:t xml:space="preserve"> </w:t>
      </w:r>
      <w:r>
        <w:rPr>
          <w:rFonts w:hint="eastAsia" w:eastAsia="黑体"/>
          <w:bCs/>
          <w:sz w:val="28"/>
          <w:szCs w:val="28"/>
        </w:rPr>
        <w:t>专任教师</w:t>
      </w:r>
    </w:p>
    <w:p>
      <w:pPr>
        <w:adjustRightInd w:val="0"/>
        <w:snapToGrid w:val="0"/>
        <w:spacing w:line="460" w:lineRule="exact"/>
        <w:ind w:firstLine="560" w:firstLineChars="200"/>
        <w:rPr>
          <w:rFonts w:eastAsia="楷体"/>
          <w:sz w:val="28"/>
          <w:szCs w:val="28"/>
        </w:rPr>
      </w:pPr>
      <w:r>
        <w:rPr>
          <w:rFonts w:hint="eastAsia" w:eastAsia="楷体"/>
          <w:sz w:val="28"/>
          <w:szCs w:val="28"/>
        </w:rPr>
        <w:t>根据普通本科学校设置暂行规定相关内容制定，指学校本专业在职教职工中具有教师资格，专门从事教学工作的人员。</w:t>
      </w:r>
    </w:p>
    <w:p>
      <w:pPr>
        <w:pStyle w:val="5"/>
        <w:widowControl w:val="0"/>
        <w:adjustRightInd w:val="0"/>
        <w:snapToGrid w:val="0"/>
        <w:spacing w:before="0" w:beforeAutospacing="0" w:after="0" w:afterAutospacing="0" w:line="460" w:lineRule="exact"/>
        <w:jc w:val="both"/>
        <w:rPr>
          <w:rFonts w:ascii="Times New Roman" w:hAnsi="Times New Roman" w:eastAsia="黑体" w:cs="Times New Roman"/>
          <w:bCs/>
          <w:kern w:val="2"/>
          <w:sz w:val="28"/>
          <w:szCs w:val="28"/>
        </w:rPr>
      </w:pPr>
      <w:r>
        <w:rPr>
          <w:rStyle w:val="8"/>
          <w:rFonts w:ascii="Times New Roman" w:hAnsi="Times New Roman" w:cs="Times New Roman"/>
          <w:sz w:val="28"/>
          <w:szCs w:val="28"/>
        </w:rPr>
        <w:t>[7]</w:t>
      </w:r>
      <w:r>
        <w:rPr>
          <w:rFonts w:ascii="Times New Roman" w:hAnsi="Times New Roman" w:cs="Times New Roman"/>
          <w:sz w:val="28"/>
          <w:szCs w:val="28"/>
        </w:rPr>
        <w:t xml:space="preserve"> </w:t>
      </w:r>
      <w:r>
        <w:rPr>
          <w:rFonts w:hint="eastAsia" w:ascii="Times New Roman" w:hAnsi="Times New Roman" w:eastAsia="黑体" w:cs="Times New Roman"/>
          <w:kern w:val="2"/>
          <w:sz w:val="28"/>
          <w:szCs w:val="28"/>
        </w:rPr>
        <w:t>学科课程与教学论</w:t>
      </w:r>
      <w:r>
        <w:rPr>
          <w:rFonts w:ascii="Times New Roman" w:hAnsi="Times New Roman" w:eastAsia="黑体" w:cs="Times New Roman"/>
          <w:kern w:val="2"/>
          <w:sz w:val="28"/>
          <w:szCs w:val="28"/>
        </w:rPr>
        <w:t>/</w:t>
      </w:r>
      <w:r>
        <w:rPr>
          <w:rFonts w:hint="eastAsia" w:ascii="Times New Roman" w:hAnsi="Times New Roman" w:eastAsia="黑体" w:cs="Times New Roman"/>
          <w:kern w:val="2"/>
          <w:sz w:val="28"/>
          <w:szCs w:val="28"/>
        </w:rPr>
        <w:t>教师教育教师占专任教师比例</w:t>
      </w:r>
    </w:p>
    <w:p>
      <w:pPr>
        <w:pStyle w:val="5"/>
        <w:widowControl w:val="0"/>
        <w:adjustRightInd w:val="0"/>
        <w:snapToGrid w:val="0"/>
        <w:spacing w:before="0" w:beforeAutospacing="0" w:after="0" w:afterAutospacing="0" w:line="460" w:lineRule="exact"/>
        <w:ind w:firstLine="560" w:firstLineChars="200"/>
        <w:jc w:val="both"/>
        <w:rPr>
          <w:rFonts w:ascii="Times New Roman" w:hAnsi="Times New Roman" w:eastAsia="楷体" w:cs="Times New Roman"/>
          <w:bCs/>
          <w:kern w:val="2"/>
          <w:sz w:val="28"/>
          <w:szCs w:val="28"/>
        </w:rPr>
      </w:pPr>
      <w:r>
        <w:rPr>
          <w:rFonts w:hint="eastAsia" w:ascii="Times New Roman" w:hAnsi="Times New Roman" w:eastAsia="楷体" w:cs="Times New Roman"/>
          <w:kern w:val="2"/>
          <w:sz w:val="28"/>
          <w:szCs w:val="28"/>
        </w:rPr>
        <w:t>根据普通本科学校设置暂行规定相关内容制定。</w:t>
      </w:r>
      <w:r>
        <w:rPr>
          <w:rFonts w:hint="eastAsia" w:ascii="Times New Roman" w:hAnsi="Times New Roman" w:eastAsia="楷体" w:cs="Times New Roman"/>
          <w:bCs/>
          <w:kern w:val="2"/>
          <w:sz w:val="28"/>
          <w:szCs w:val="28"/>
        </w:rPr>
        <w:t>学科课程与教学论教师占专任教师比例</w:t>
      </w:r>
      <w:r>
        <w:rPr>
          <w:rFonts w:ascii="Times New Roman" w:hAnsi="Times New Roman" w:eastAsia="楷体" w:cs="Times New Roman"/>
          <w:bCs/>
          <w:kern w:val="2"/>
          <w:sz w:val="28"/>
          <w:szCs w:val="28"/>
        </w:rPr>
        <w:t>=</w:t>
      </w:r>
      <w:r>
        <w:rPr>
          <w:rFonts w:hint="eastAsia" w:ascii="Times New Roman" w:hAnsi="Times New Roman" w:eastAsia="楷体" w:cs="Times New Roman"/>
          <w:bCs/>
          <w:kern w:val="2"/>
          <w:sz w:val="28"/>
          <w:szCs w:val="28"/>
        </w:rPr>
        <w:t>本专业</w:t>
      </w:r>
      <w:r>
        <w:rPr>
          <w:rFonts w:hint="eastAsia" w:ascii="Times New Roman" w:hAnsi="Times New Roman" w:eastAsia="楷体" w:cs="Times New Roman"/>
          <w:kern w:val="2"/>
          <w:sz w:val="28"/>
          <w:szCs w:val="28"/>
        </w:rPr>
        <w:t>学科课程与教学论在职教师</w:t>
      </w:r>
      <w:r>
        <w:rPr>
          <w:rFonts w:ascii="Times New Roman" w:hAnsi="Times New Roman" w:eastAsia="楷体" w:cs="Times New Roman"/>
          <w:kern w:val="2"/>
          <w:sz w:val="28"/>
          <w:szCs w:val="28"/>
        </w:rPr>
        <w:t>/</w:t>
      </w:r>
      <w:r>
        <w:rPr>
          <w:rFonts w:hint="eastAsia" w:ascii="Times New Roman" w:hAnsi="Times New Roman" w:eastAsia="楷体" w:cs="Times New Roman"/>
          <w:kern w:val="2"/>
          <w:sz w:val="28"/>
          <w:szCs w:val="28"/>
        </w:rPr>
        <w:t>本专业专任教师总数。</w:t>
      </w:r>
    </w:p>
    <w:p>
      <w:pPr>
        <w:pStyle w:val="5"/>
        <w:widowControl w:val="0"/>
        <w:adjustRightInd w:val="0"/>
        <w:snapToGrid w:val="0"/>
        <w:spacing w:before="0" w:beforeAutospacing="0" w:after="0" w:afterAutospacing="0" w:line="460" w:lineRule="exact"/>
        <w:ind w:firstLine="560" w:firstLineChars="200"/>
        <w:jc w:val="both"/>
        <w:rPr>
          <w:rFonts w:ascii="Times New Roman" w:hAnsi="Times New Roman" w:cs="Times New Roman"/>
          <w:sz w:val="28"/>
          <w:szCs w:val="28"/>
        </w:rPr>
      </w:pPr>
      <w:r>
        <w:rPr>
          <w:rFonts w:hint="eastAsia" w:ascii="Times New Roman" w:hAnsi="Times New Roman" w:eastAsia="楷体" w:cs="Times New Roman"/>
          <w:kern w:val="2"/>
          <w:sz w:val="28"/>
          <w:szCs w:val="28"/>
        </w:rPr>
        <w:t>教师教育课程教师占专任教师比例</w:t>
      </w:r>
      <w:r>
        <w:rPr>
          <w:rFonts w:ascii="Times New Roman" w:hAnsi="Times New Roman" w:eastAsia="楷体" w:cs="Times New Roman"/>
          <w:kern w:val="2"/>
          <w:sz w:val="28"/>
          <w:szCs w:val="28"/>
        </w:rPr>
        <w:t>=</w:t>
      </w:r>
      <w:r>
        <w:rPr>
          <w:rFonts w:hint="eastAsia" w:ascii="Times New Roman" w:hAnsi="Times New Roman" w:eastAsia="楷体" w:cs="Times New Roman"/>
          <w:kern w:val="2"/>
          <w:sz w:val="28"/>
          <w:szCs w:val="28"/>
        </w:rPr>
        <w:t>本专业教师教育课程在职教师</w:t>
      </w:r>
      <w:r>
        <w:rPr>
          <w:rFonts w:ascii="Times New Roman" w:hAnsi="Times New Roman" w:eastAsia="楷体" w:cs="Times New Roman"/>
          <w:kern w:val="2"/>
          <w:sz w:val="28"/>
          <w:szCs w:val="28"/>
        </w:rPr>
        <w:t>/</w:t>
      </w:r>
      <w:r>
        <w:rPr>
          <w:rFonts w:hint="eastAsia" w:ascii="Times New Roman" w:hAnsi="Times New Roman" w:eastAsia="楷体" w:cs="Times New Roman"/>
          <w:kern w:val="2"/>
          <w:sz w:val="28"/>
          <w:szCs w:val="28"/>
        </w:rPr>
        <w:t>本专业专任教师总数</w:t>
      </w:r>
      <w:r>
        <w:rPr>
          <w:rFonts w:hint="eastAsia" w:ascii="Times New Roman" w:hAnsi="Times New Roman" w:eastAsia="楷体" w:cs="Times New Roman"/>
          <w:bCs/>
          <w:kern w:val="2"/>
          <w:sz w:val="28"/>
          <w:szCs w:val="28"/>
        </w:rPr>
        <w:t>。</w:t>
      </w:r>
    </w:p>
    <w:p>
      <w:pPr>
        <w:pStyle w:val="5"/>
        <w:widowControl w:val="0"/>
        <w:adjustRightInd w:val="0"/>
        <w:snapToGrid w:val="0"/>
        <w:spacing w:before="0" w:beforeAutospacing="0" w:after="0" w:afterAutospacing="0" w:line="460" w:lineRule="exact"/>
        <w:jc w:val="both"/>
        <w:rPr>
          <w:rFonts w:ascii="Times New Roman" w:hAnsi="Times New Roman" w:eastAsia="黑体" w:cs="Times New Roman"/>
          <w:kern w:val="2"/>
          <w:sz w:val="28"/>
          <w:szCs w:val="28"/>
        </w:rPr>
      </w:pPr>
      <w:r>
        <w:rPr>
          <w:rStyle w:val="8"/>
          <w:rFonts w:ascii="Times New Roman" w:hAnsi="Times New Roman" w:cs="Times New Roman"/>
          <w:sz w:val="28"/>
          <w:szCs w:val="28"/>
        </w:rPr>
        <w:t xml:space="preserve">[8] </w:t>
      </w:r>
      <w:r>
        <w:rPr>
          <w:rFonts w:hint="eastAsia" w:ascii="Times New Roman" w:hAnsi="Times New Roman" w:eastAsia="黑体" w:cs="Times New Roman"/>
          <w:kern w:val="2"/>
          <w:sz w:val="28"/>
          <w:szCs w:val="28"/>
        </w:rPr>
        <w:t>具有高级职称教师占专任教师比例</w:t>
      </w:r>
    </w:p>
    <w:p>
      <w:pPr>
        <w:pStyle w:val="5"/>
        <w:widowControl w:val="0"/>
        <w:adjustRightInd w:val="0"/>
        <w:snapToGrid w:val="0"/>
        <w:spacing w:before="0" w:beforeAutospacing="0" w:after="0" w:afterAutospacing="0" w:line="460" w:lineRule="exact"/>
        <w:ind w:firstLine="560" w:firstLineChars="200"/>
        <w:jc w:val="both"/>
        <w:rPr>
          <w:rFonts w:ascii="Times New Roman" w:hAnsi="Times New Roman" w:cs="Times New Roman"/>
          <w:sz w:val="28"/>
          <w:szCs w:val="28"/>
        </w:rPr>
      </w:pPr>
      <w:r>
        <w:rPr>
          <w:rFonts w:hint="eastAsia" w:ascii="Times New Roman" w:hAnsi="Times New Roman" w:eastAsia="楷体" w:cs="Times New Roman"/>
          <w:kern w:val="2"/>
          <w:sz w:val="28"/>
          <w:szCs w:val="28"/>
        </w:rPr>
        <w:t>根据普通本科学校设置暂行规定相关内容制定。</w:t>
      </w:r>
      <w:r>
        <w:rPr>
          <w:rFonts w:hint="eastAsia" w:ascii="Times New Roman" w:hAnsi="Times New Roman" w:eastAsia="楷体" w:cs="Times New Roman"/>
          <w:bCs/>
          <w:kern w:val="2"/>
          <w:sz w:val="28"/>
          <w:szCs w:val="28"/>
        </w:rPr>
        <w:t>具有高级职称教师占专任教师比例</w:t>
      </w:r>
      <w:r>
        <w:rPr>
          <w:rFonts w:ascii="Times New Roman" w:hAnsi="Times New Roman" w:eastAsia="楷体" w:cs="Times New Roman"/>
          <w:kern w:val="2"/>
          <w:sz w:val="28"/>
          <w:szCs w:val="28"/>
        </w:rPr>
        <w:t>=</w:t>
      </w:r>
      <w:r>
        <w:rPr>
          <w:rFonts w:hint="eastAsia" w:ascii="Times New Roman" w:hAnsi="Times New Roman" w:eastAsia="楷体" w:cs="Times New Roman"/>
          <w:kern w:val="2"/>
          <w:sz w:val="28"/>
          <w:szCs w:val="28"/>
        </w:rPr>
        <w:t>具有副高级及以上职称的本专业专任教师数</w:t>
      </w:r>
      <w:r>
        <w:rPr>
          <w:rFonts w:ascii="Times New Roman" w:hAnsi="Times New Roman" w:eastAsia="楷体" w:cs="Times New Roman"/>
          <w:kern w:val="2"/>
          <w:sz w:val="28"/>
          <w:szCs w:val="28"/>
        </w:rPr>
        <w:t>/</w:t>
      </w:r>
      <w:r>
        <w:rPr>
          <w:rFonts w:hint="eastAsia" w:ascii="Times New Roman" w:hAnsi="Times New Roman" w:eastAsia="楷体" w:cs="Times New Roman"/>
          <w:kern w:val="2"/>
          <w:sz w:val="28"/>
          <w:szCs w:val="28"/>
        </w:rPr>
        <w:t>本专业专任教师总数。</w:t>
      </w:r>
    </w:p>
    <w:p>
      <w:pPr>
        <w:pStyle w:val="5"/>
        <w:widowControl w:val="0"/>
        <w:adjustRightInd w:val="0"/>
        <w:snapToGrid w:val="0"/>
        <w:spacing w:before="0" w:beforeAutospacing="0" w:after="0" w:afterAutospacing="0" w:line="460" w:lineRule="exact"/>
        <w:jc w:val="both"/>
        <w:rPr>
          <w:rFonts w:ascii="Times New Roman" w:hAnsi="Times New Roman" w:eastAsia="黑体" w:cs="Times New Roman"/>
          <w:kern w:val="2"/>
          <w:sz w:val="28"/>
          <w:szCs w:val="28"/>
        </w:rPr>
      </w:pPr>
      <w:r>
        <w:rPr>
          <w:rStyle w:val="8"/>
          <w:rFonts w:ascii="Times New Roman" w:hAnsi="Times New Roman" w:cs="Times New Roman"/>
          <w:sz w:val="28"/>
          <w:szCs w:val="28"/>
        </w:rPr>
        <w:t xml:space="preserve">[9] </w:t>
      </w:r>
      <w:r>
        <w:rPr>
          <w:rFonts w:hint="eastAsia" w:ascii="Times New Roman" w:hAnsi="Times New Roman" w:eastAsia="黑体" w:cs="Times New Roman"/>
          <w:kern w:val="2"/>
          <w:sz w:val="28"/>
          <w:szCs w:val="28"/>
        </w:rPr>
        <w:t>具有硕博士学位教师占专任教师比例</w:t>
      </w:r>
      <w:r>
        <w:rPr>
          <w:rFonts w:ascii="Times New Roman" w:hAnsi="Times New Roman" w:eastAsia="黑体" w:cs="Times New Roman"/>
          <w:kern w:val="2"/>
          <w:sz w:val="28"/>
          <w:szCs w:val="28"/>
        </w:rPr>
        <w:t xml:space="preserve"> </w:t>
      </w:r>
    </w:p>
    <w:p>
      <w:pPr>
        <w:pStyle w:val="5"/>
        <w:widowControl w:val="0"/>
        <w:adjustRightInd w:val="0"/>
        <w:snapToGrid w:val="0"/>
        <w:spacing w:before="0" w:beforeAutospacing="0" w:after="0" w:afterAutospacing="0" w:line="460" w:lineRule="exact"/>
        <w:ind w:firstLine="560" w:firstLineChars="200"/>
        <w:jc w:val="both"/>
        <w:rPr>
          <w:rFonts w:ascii="Times New Roman" w:hAnsi="Times New Roman" w:cs="Times New Roman"/>
          <w:sz w:val="28"/>
          <w:szCs w:val="28"/>
        </w:rPr>
      </w:pPr>
      <w:r>
        <w:rPr>
          <w:rFonts w:hint="eastAsia" w:ascii="Times New Roman" w:hAnsi="Times New Roman" w:eastAsia="楷体" w:cs="Times New Roman"/>
          <w:kern w:val="2"/>
          <w:sz w:val="28"/>
          <w:szCs w:val="28"/>
        </w:rPr>
        <w:t>根据普通本科学校设置暂行规定相关内容制定。</w:t>
      </w:r>
      <w:r>
        <w:rPr>
          <w:rFonts w:hint="eastAsia" w:ascii="Times New Roman" w:hAnsi="Times New Roman" w:eastAsia="楷体" w:cs="Times New Roman"/>
          <w:bCs/>
          <w:kern w:val="2"/>
          <w:sz w:val="28"/>
          <w:szCs w:val="28"/>
        </w:rPr>
        <w:t>具有硕博士学位教师占专任教师比例</w:t>
      </w:r>
      <w:r>
        <w:rPr>
          <w:rFonts w:ascii="Times New Roman" w:hAnsi="Times New Roman" w:eastAsia="楷体" w:cs="Times New Roman"/>
          <w:kern w:val="2"/>
          <w:sz w:val="28"/>
          <w:szCs w:val="28"/>
        </w:rPr>
        <w:t>=</w:t>
      </w:r>
      <w:r>
        <w:rPr>
          <w:rFonts w:hint="eastAsia" w:ascii="Times New Roman" w:hAnsi="Times New Roman" w:eastAsia="楷体" w:cs="Times New Roman"/>
          <w:kern w:val="2"/>
          <w:sz w:val="28"/>
          <w:szCs w:val="28"/>
        </w:rPr>
        <w:t>本专业具有硕博士学位的专任教师数</w:t>
      </w:r>
      <w:r>
        <w:rPr>
          <w:rFonts w:ascii="Times New Roman" w:hAnsi="Times New Roman" w:eastAsia="楷体" w:cs="Times New Roman"/>
          <w:kern w:val="2"/>
          <w:sz w:val="28"/>
          <w:szCs w:val="28"/>
        </w:rPr>
        <w:t>/</w:t>
      </w:r>
      <w:r>
        <w:rPr>
          <w:rFonts w:hint="eastAsia" w:ascii="Times New Roman" w:hAnsi="Times New Roman" w:eastAsia="楷体" w:cs="Times New Roman"/>
          <w:kern w:val="2"/>
          <w:sz w:val="28"/>
          <w:szCs w:val="28"/>
        </w:rPr>
        <w:t>本专业专任教师总数。</w:t>
      </w:r>
    </w:p>
    <w:p>
      <w:pPr>
        <w:tabs>
          <w:tab w:val="center" w:pos="4153"/>
        </w:tabs>
        <w:adjustRightInd w:val="0"/>
        <w:snapToGrid w:val="0"/>
        <w:spacing w:line="460" w:lineRule="exact"/>
        <w:rPr>
          <w:sz w:val="28"/>
          <w:szCs w:val="28"/>
        </w:rPr>
      </w:pPr>
      <w:r>
        <w:rPr>
          <w:rStyle w:val="8"/>
          <w:kern w:val="0"/>
          <w:sz w:val="28"/>
          <w:szCs w:val="28"/>
        </w:rPr>
        <w:t>[10]</w:t>
      </w:r>
      <w:r>
        <w:rPr>
          <w:kern w:val="0"/>
          <w:sz w:val="28"/>
          <w:szCs w:val="28"/>
        </w:rPr>
        <w:t xml:space="preserve"> </w:t>
      </w:r>
      <w:r>
        <w:rPr>
          <w:rFonts w:hint="eastAsia" w:eastAsia="黑体"/>
          <w:bCs/>
          <w:sz w:val="28"/>
          <w:szCs w:val="28"/>
        </w:rPr>
        <w:t>兼职教师</w:t>
      </w:r>
    </w:p>
    <w:p>
      <w:pPr>
        <w:adjustRightInd w:val="0"/>
        <w:snapToGrid w:val="0"/>
        <w:spacing w:line="460" w:lineRule="exact"/>
        <w:ind w:firstLine="560" w:firstLineChars="200"/>
        <w:rPr>
          <w:rFonts w:eastAsia="楷体"/>
          <w:sz w:val="28"/>
          <w:szCs w:val="28"/>
        </w:rPr>
      </w:pPr>
      <w:r>
        <w:rPr>
          <w:rFonts w:hint="eastAsia" w:eastAsia="楷体"/>
          <w:sz w:val="28"/>
          <w:szCs w:val="28"/>
        </w:rPr>
        <w:t>指来自教学一线的中学</w:t>
      </w:r>
      <w:r>
        <w:rPr>
          <w:rFonts w:eastAsia="楷体"/>
          <w:sz w:val="28"/>
          <w:szCs w:val="28"/>
        </w:rPr>
        <w:t>/</w:t>
      </w:r>
      <w:r>
        <w:rPr>
          <w:rFonts w:hint="eastAsia" w:eastAsia="楷体"/>
          <w:sz w:val="28"/>
          <w:szCs w:val="28"/>
        </w:rPr>
        <w:t>小学</w:t>
      </w:r>
      <w:r>
        <w:rPr>
          <w:rFonts w:eastAsia="楷体"/>
          <w:sz w:val="28"/>
          <w:szCs w:val="28"/>
        </w:rPr>
        <w:t>/</w:t>
      </w:r>
      <w:r>
        <w:rPr>
          <w:rFonts w:hint="eastAsia" w:eastAsia="楷体"/>
          <w:sz w:val="28"/>
          <w:szCs w:val="28"/>
        </w:rPr>
        <w:t>幼儿园教师。</w:t>
      </w:r>
    </w:p>
    <w:p>
      <w:pPr>
        <w:pStyle w:val="2"/>
        <w:adjustRightInd w:val="0"/>
        <w:spacing w:line="460" w:lineRule="exact"/>
        <w:jc w:val="both"/>
        <w:rPr>
          <w:rFonts w:ascii="Times New Roman" w:hAnsi="Times New Roman" w:eastAsia="黑体"/>
          <w:sz w:val="28"/>
          <w:szCs w:val="28"/>
        </w:rPr>
      </w:pPr>
      <w:r>
        <w:rPr>
          <w:rStyle w:val="8"/>
          <w:rFonts w:ascii="Times New Roman" w:hAnsi="Times New Roman"/>
          <w:kern w:val="0"/>
          <w:sz w:val="28"/>
          <w:szCs w:val="28"/>
        </w:rPr>
        <w:t xml:space="preserve">[11] </w:t>
      </w:r>
      <w:r>
        <w:rPr>
          <w:rFonts w:hint="eastAsia" w:ascii="Times New Roman" w:hAnsi="Times New Roman" w:eastAsia="黑体"/>
          <w:sz w:val="28"/>
          <w:szCs w:val="28"/>
        </w:rPr>
        <w:t>教学日常运行支出</w:t>
      </w:r>
    </w:p>
    <w:p>
      <w:pPr>
        <w:pStyle w:val="2"/>
        <w:adjustRightInd w:val="0"/>
        <w:spacing w:line="460" w:lineRule="exact"/>
        <w:ind w:firstLine="560" w:firstLineChars="200"/>
        <w:jc w:val="both"/>
        <w:rPr>
          <w:rFonts w:ascii="Times New Roman" w:hAnsi="Times New Roman"/>
          <w:sz w:val="28"/>
          <w:szCs w:val="28"/>
        </w:rPr>
      </w:pPr>
      <w:r>
        <w:rPr>
          <w:rFonts w:hint="eastAsia" w:ascii="Times New Roman" w:hAnsi="Times New Roman" w:eastAsia="楷体"/>
          <w:sz w:val="28"/>
          <w:szCs w:val="28"/>
        </w:rPr>
        <w:t>根据普通高等学校本科教学工作合格评估方案制定。教学日常运行支出指中学</w:t>
      </w:r>
      <w:r>
        <w:rPr>
          <w:rFonts w:ascii="Times New Roman" w:hAnsi="Times New Roman" w:eastAsia="楷体"/>
          <w:sz w:val="28"/>
          <w:szCs w:val="28"/>
        </w:rPr>
        <w:t>/</w:t>
      </w:r>
      <w:r>
        <w:rPr>
          <w:rFonts w:hint="eastAsia" w:ascii="Times New Roman" w:hAnsi="Times New Roman" w:eastAsia="楷体"/>
          <w:sz w:val="28"/>
          <w:szCs w:val="28"/>
        </w:rPr>
        <w:t>小学</w:t>
      </w:r>
      <w:r>
        <w:rPr>
          <w:rFonts w:ascii="Times New Roman" w:hAnsi="Times New Roman" w:eastAsia="楷体"/>
          <w:sz w:val="28"/>
          <w:szCs w:val="28"/>
        </w:rPr>
        <w:t>/</w:t>
      </w:r>
      <w:r>
        <w:rPr>
          <w:rFonts w:hint="eastAsia" w:ascii="Times New Roman" w:hAnsi="Times New Roman" w:eastAsia="楷体"/>
          <w:sz w:val="28"/>
          <w:szCs w:val="28"/>
        </w:rPr>
        <w:t>学前教育专业开展教学活动及其辅助活动发生的支出，仅指教学基本支出中的商品和服务支持（</w:t>
      </w:r>
      <w:r>
        <w:rPr>
          <w:rFonts w:ascii="Times New Roman" w:hAnsi="Times New Roman" w:eastAsia="楷体"/>
          <w:sz w:val="28"/>
          <w:szCs w:val="28"/>
        </w:rPr>
        <w:t>302</w:t>
      </w:r>
      <w:r>
        <w:rPr>
          <w:rFonts w:hint="eastAsia" w:ascii="Times New Roman" w:hAnsi="Times New Roman" w:eastAsia="楷体"/>
          <w:sz w:val="28"/>
          <w:szCs w:val="28"/>
        </w:rPr>
        <w:t>类），不包括教学专项拨款支出，具体包括教学教辅部门发生的办公费（含考试考务费、手续费等）、印刷费、咨询费、邮电费、交通费、差旅费、出国费、维修（护）费、租赁费、会议费、培训费、专用材料费（含体育维持费等）、劳务费和其他教学商品和服务支出（含学生活动费、教学咨询研究机构会员费、教学改革科研业务费、委托业务费等），取会计决算数。</w:t>
      </w:r>
    </w:p>
    <w:p>
      <w:pPr>
        <w:pStyle w:val="2"/>
        <w:adjustRightInd w:val="0"/>
        <w:spacing w:line="460" w:lineRule="exact"/>
        <w:jc w:val="both"/>
        <w:rPr>
          <w:rFonts w:ascii="Times New Roman" w:hAnsi="Times New Roman" w:eastAsia="黑体"/>
          <w:bCs/>
          <w:sz w:val="28"/>
          <w:szCs w:val="28"/>
        </w:rPr>
      </w:pPr>
      <w:r>
        <w:rPr>
          <w:rStyle w:val="8"/>
          <w:rFonts w:ascii="Times New Roman" w:hAnsi="Times New Roman"/>
          <w:kern w:val="0"/>
          <w:sz w:val="28"/>
          <w:szCs w:val="28"/>
        </w:rPr>
        <w:t xml:space="preserve">[12] </w:t>
      </w:r>
      <w:r>
        <w:rPr>
          <w:rFonts w:hint="eastAsia" w:ascii="Times New Roman" w:hAnsi="Times New Roman" w:eastAsia="黑体"/>
          <w:bCs/>
          <w:sz w:val="28"/>
          <w:szCs w:val="28"/>
        </w:rPr>
        <w:t>生均拨款总额</w:t>
      </w:r>
    </w:p>
    <w:p>
      <w:pPr>
        <w:pStyle w:val="2"/>
        <w:adjustRightInd w:val="0"/>
        <w:spacing w:line="460" w:lineRule="exact"/>
        <w:ind w:firstLine="560" w:firstLineChars="200"/>
        <w:jc w:val="both"/>
        <w:rPr>
          <w:rFonts w:ascii="Times New Roman" w:hAnsi="Times New Roman"/>
          <w:sz w:val="28"/>
          <w:szCs w:val="28"/>
        </w:rPr>
      </w:pPr>
      <w:r>
        <w:rPr>
          <w:rFonts w:hint="eastAsia" w:ascii="Times New Roman" w:hAnsi="Times New Roman" w:eastAsia="楷体"/>
          <w:sz w:val="28"/>
          <w:szCs w:val="28"/>
        </w:rPr>
        <w:t>根据普通高等学校本科教学工作合格评估方案制定。生均拨款总额</w:t>
      </w:r>
      <w:r>
        <w:rPr>
          <w:rFonts w:hint="eastAsia" w:ascii="Times New Roman" w:hAnsi="Times New Roman" w:eastAsia="楷体"/>
          <w:bCs/>
          <w:sz w:val="28"/>
          <w:szCs w:val="28"/>
        </w:rPr>
        <w:t>指中央和地方财政通过一般预算安排用于支持高校发展的经费，按在校生人数折算的平均水平，包括基本支出和项目支出，不含中央财政安排的专项经费。其中，专业本科生生均拨款总额指按专业本科生在校生人数折算的拨款总额。专业专科生生均拨款总额指按专业专科生在校生人数折算的拨款总额。</w:t>
      </w:r>
    </w:p>
    <w:p>
      <w:pPr>
        <w:pStyle w:val="5"/>
        <w:widowControl w:val="0"/>
        <w:adjustRightInd w:val="0"/>
        <w:snapToGrid w:val="0"/>
        <w:spacing w:before="0" w:beforeAutospacing="0" w:after="0" w:afterAutospacing="0" w:line="460" w:lineRule="exact"/>
        <w:jc w:val="both"/>
        <w:rPr>
          <w:rFonts w:ascii="Times New Roman" w:hAnsi="Times New Roman" w:eastAsia="黑体" w:cs="Times New Roman"/>
          <w:bCs/>
          <w:sz w:val="28"/>
          <w:szCs w:val="28"/>
        </w:rPr>
      </w:pPr>
      <w:r>
        <w:rPr>
          <w:rStyle w:val="8"/>
          <w:rFonts w:ascii="Times New Roman" w:hAnsi="Times New Roman" w:cs="Times New Roman"/>
          <w:sz w:val="28"/>
          <w:szCs w:val="28"/>
        </w:rPr>
        <w:t>[13]</w:t>
      </w:r>
      <w:r>
        <w:rPr>
          <w:rFonts w:ascii="Times New Roman" w:hAnsi="Times New Roman" w:eastAsia="黑体" w:cs="Times New Roman"/>
          <w:bCs/>
          <w:sz w:val="28"/>
          <w:szCs w:val="28"/>
        </w:rPr>
        <w:t xml:space="preserve"> </w:t>
      </w:r>
      <w:r>
        <w:rPr>
          <w:rFonts w:hint="eastAsia" w:ascii="Times New Roman" w:hAnsi="Times New Roman" w:eastAsia="黑体" w:cs="Times New Roman"/>
          <w:bCs/>
          <w:sz w:val="28"/>
          <w:szCs w:val="28"/>
        </w:rPr>
        <w:t>学费收入</w:t>
      </w:r>
    </w:p>
    <w:p>
      <w:pPr>
        <w:pStyle w:val="5"/>
        <w:widowControl w:val="0"/>
        <w:adjustRightInd w:val="0"/>
        <w:snapToGrid w:val="0"/>
        <w:spacing w:before="0" w:beforeAutospacing="0" w:after="0" w:afterAutospacing="0" w:line="460" w:lineRule="exact"/>
        <w:ind w:firstLine="560" w:firstLineChars="200"/>
        <w:jc w:val="both"/>
        <w:rPr>
          <w:rFonts w:ascii="Times New Roman" w:hAnsi="Times New Roman" w:cs="Times New Roman"/>
          <w:sz w:val="28"/>
          <w:szCs w:val="28"/>
        </w:rPr>
      </w:pPr>
      <w:r>
        <w:rPr>
          <w:rFonts w:hint="eastAsia" w:ascii="Times New Roman" w:hAnsi="Times New Roman" w:eastAsia="楷体" w:cs="Times New Roman"/>
          <w:kern w:val="2"/>
          <w:sz w:val="28"/>
          <w:szCs w:val="28"/>
        </w:rPr>
        <w:t>根据普通高等学校本科教学工作合格评估方案制定。学费收入</w:t>
      </w:r>
      <w:r>
        <w:rPr>
          <w:rFonts w:hint="eastAsia" w:ascii="Times New Roman" w:hAnsi="Times New Roman" w:eastAsia="楷体" w:cs="Times New Roman"/>
          <w:bCs/>
          <w:kern w:val="2"/>
          <w:sz w:val="28"/>
          <w:szCs w:val="28"/>
        </w:rPr>
        <w:t>指普通本科专业学费收入，即按照核准收费标准实际收取的本科专业学费总额。只统计学费，不含住宿费、教材费等其他收费。专科专业学费收入即按照核准收费标准实际收取的专科专业学费总额。</w:t>
      </w:r>
    </w:p>
    <w:p>
      <w:pPr>
        <w:pStyle w:val="5"/>
        <w:widowControl w:val="0"/>
        <w:adjustRightInd w:val="0"/>
        <w:snapToGrid w:val="0"/>
        <w:spacing w:before="0" w:beforeAutospacing="0" w:after="0" w:afterAutospacing="0" w:line="460" w:lineRule="exact"/>
        <w:jc w:val="both"/>
        <w:rPr>
          <w:rFonts w:ascii="Times New Roman" w:hAnsi="Times New Roman" w:eastAsia="黑体" w:cs="Times New Roman"/>
          <w:kern w:val="2"/>
          <w:sz w:val="28"/>
          <w:szCs w:val="28"/>
        </w:rPr>
      </w:pPr>
      <w:r>
        <w:rPr>
          <w:rStyle w:val="8"/>
          <w:rFonts w:ascii="Times New Roman" w:hAnsi="Times New Roman" w:cs="Times New Roman"/>
          <w:sz w:val="28"/>
          <w:szCs w:val="28"/>
        </w:rPr>
        <w:t xml:space="preserve">[14] </w:t>
      </w:r>
      <w:r>
        <w:rPr>
          <w:rFonts w:hint="eastAsia" w:ascii="Times New Roman" w:hAnsi="Times New Roman" w:eastAsia="黑体" w:cs="Times New Roman"/>
          <w:bCs/>
          <w:kern w:val="2"/>
          <w:sz w:val="28"/>
          <w:szCs w:val="28"/>
        </w:rPr>
        <w:t>教育实践经费</w:t>
      </w:r>
    </w:p>
    <w:p>
      <w:pPr>
        <w:pStyle w:val="5"/>
        <w:widowControl w:val="0"/>
        <w:adjustRightInd w:val="0"/>
        <w:snapToGrid w:val="0"/>
        <w:spacing w:before="0" w:beforeAutospacing="0" w:after="0" w:afterAutospacing="0" w:line="460" w:lineRule="exact"/>
        <w:ind w:firstLine="560" w:firstLineChars="200"/>
        <w:jc w:val="both"/>
        <w:rPr>
          <w:rFonts w:ascii="Times New Roman" w:hAnsi="Times New Roman" w:cs="Times New Roman"/>
          <w:sz w:val="28"/>
          <w:szCs w:val="28"/>
        </w:rPr>
      </w:pPr>
      <w:r>
        <w:rPr>
          <w:rFonts w:hint="eastAsia" w:ascii="Times New Roman" w:hAnsi="Times New Roman" w:eastAsia="楷体" w:cs="Times New Roman"/>
          <w:kern w:val="2"/>
          <w:sz w:val="28"/>
          <w:szCs w:val="28"/>
        </w:rPr>
        <w:t>教育实践经费指用于教育见习、教育实习、教育研习等教育实践活动的经费总额，不含实验室列入固定资产的设备购置经费。</w:t>
      </w:r>
    </w:p>
    <w:p>
      <w:pPr>
        <w:adjustRightInd w:val="0"/>
        <w:snapToGrid w:val="0"/>
        <w:spacing w:line="460" w:lineRule="exact"/>
        <w:rPr>
          <w:bCs/>
          <w:sz w:val="28"/>
          <w:szCs w:val="28"/>
        </w:rPr>
      </w:pPr>
      <w:r>
        <w:rPr>
          <w:rStyle w:val="8"/>
          <w:kern w:val="0"/>
          <w:sz w:val="28"/>
          <w:szCs w:val="28"/>
        </w:rPr>
        <w:t xml:space="preserve">[15] </w:t>
      </w:r>
      <w:r>
        <w:rPr>
          <w:rFonts w:hint="eastAsia" w:eastAsia="黑体"/>
          <w:bCs/>
          <w:sz w:val="28"/>
          <w:szCs w:val="28"/>
        </w:rPr>
        <w:t>教育类纸质图书</w:t>
      </w:r>
    </w:p>
    <w:p>
      <w:pPr>
        <w:adjustRightInd w:val="0"/>
        <w:snapToGrid w:val="0"/>
        <w:spacing w:line="460" w:lineRule="exact"/>
        <w:ind w:firstLine="560" w:firstLineChars="200"/>
        <w:rPr>
          <w:sz w:val="28"/>
          <w:szCs w:val="28"/>
        </w:rPr>
      </w:pPr>
      <w:r>
        <w:rPr>
          <w:rFonts w:hint="eastAsia" w:eastAsia="楷体"/>
          <w:bCs/>
          <w:sz w:val="28"/>
          <w:szCs w:val="28"/>
        </w:rPr>
        <w:t>教育类纸质图书包括课程论、教学论、学科教学、教育科研、教育教学管理等方面的纸质图书。</w:t>
      </w:r>
    </w:p>
    <w:p>
      <w:pPr>
        <w:pStyle w:val="2"/>
        <w:adjustRightInd w:val="0"/>
        <w:spacing w:line="460" w:lineRule="exact"/>
        <w:jc w:val="both"/>
        <w:rPr>
          <w:rFonts w:ascii="Times New Roman" w:hAnsi="Times New Roman" w:eastAsia="黑体"/>
          <w:bCs/>
          <w:sz w:val="28"/>
          <w:szCs w:val="28"/>
        </w:rPr>
      </w:pPr>
      <w:r>
        <w:rPr>
          <w:rStyle w:val="8"/>
          <w:rFonts w:ascii="Times New Roman" w:hAnsi="Times New Roman"/>
          <w:kern w:val="0"/>
          <w:sz w:val="28"/>
          <w:szCs w:val="28"/>
        </w:rPr>
        <w:t>[16]</w:t>
      </w:r>
      <w:r>
        <w:rPr>
          <w:rFonts w:ascii="Times New Roman" w:hAnsi="Times New Roman" w:eastAsia="黑体"/>
          <w:sz w:val="28"/>
          <w:szCs w:val="28"/>
        </w:rPr>
        <w:t xml:space="preserve"> </w:t>
      </w:r>
      <w:r>
        <w:rPr>
          <w:rFonts w:hint="eastAsia" w:ascii="Times New Roman" w:hAnsi="Times New Roman" w:eastAsia="黑体"/>
          <w:sz w:val="28"/>
          <w:szCs w:val="28"/>
        </w:rPr>
        <w:t>毕业生教师资格证通过率</w:t>
      </w:r>
    </w:p>
    <w:p>
      <w:pPr>
        <w:pStyle w:val="2"/>
        <w:adjustRightInd w:val="0"/>
        <w:spacing w:line="460" w:lineRule="exact"/>
        <w:ind w:firstLine="560" w:firstLineChars="200"/>
        <w:jc w:val="both"/>
        <w:rPr>
          <w:rFonts w:ascii="Times New Roman" w:hAnsi="Times New Roman"/>
          <w:sz w:val="28"/>
          <w:szCs w:val="28"/>
        </w:rPr>
      </w:pPr>
      <w:r>
        <w:rPr>
          <w:rFonts w:hint="eastAsia" w:ascii="Times New Roman" w:hAnsi="Times New Roman" w:eastAsia="楷体"/>
          <w:sz w:val="28"/>
          <w:szCs w:val="28"/>
        </w:rPr>
        <w:t>毕业生教师资格证通过率</w:t>
      </w:r>
      <w:r>
        <w:rPr>
          <w:rFonts w:ascii="Times New Roman" w:hAnsi="Times New Roman" w:eastAsia="楷体"/>
          <w:sz w:val="28"/>
          <w:szCs w:val="28"/>
        </w:rPr>
        <w:t>=</w:t>
      </w:r>
      <w:r>
        <w:rPr>
          <w:rFonts w:hint="eastAsia" w:ascii="Times New Roman" w:hAnsi="Times New Roman" w:eastAsia="楷体"/>
          <w:sz w:val="28"/>
          <w:szCs w:val="28"/>
        </w:rPr>
        <w:t>师范类毕业生通过教师资格证考试人数</w:t>
      </w:r>
      <w:r>
        <w:rPr>
          <w:rFonts w:ascii="Times New Roman" w:hAnsi="Times New Roman" w:eastAsia="楷体"/>
          <w:sz w:val="28"/>
          <w:szCs w:val="28"/>
        </w:rPr>
        <w:t>/</w:t>
      </w:r>
      <w:r>
        <w:rPr>
          <w:rFonts w:hint="eastAsia" w:ascii="Times New Roman" w:hAnsi="Times New Roman" w:eastAsia="楷体"/>
          <w:sz w:val="28"/>
          <w:szCs w:val="28"/>
        </w:rPr>
        <w:t>师范类毕业生数。</w:t>
      </w:r>
    </w:p>
    <w:p>
      <w:pPr>
        <w:pStyle w:val="5"/>
        <w:widowControl w:val="0"/>
        <w:adjustRightInd w:val="0"/>
        <w:snapToGrid w:val="0"/>
        <w:spacing w:before="0" w:beforeAutospacing="0" w:after="0" w:afterAutospacing="0" w:line="460" w:lineRule="exact"/>
        <w:jc w:val="both"/>
        <w:rPr>
          <w:rFonts w:ascii="Times New Roman" w:hAnsi="Times New Roman" w:cs="Times New Roman"/>
          <w:sz w:val="28"/>
          <w:szCs w:val="28"/>
        </w:rPr>
      </w:pPr>
      <w:r>
        <w:rPr>
          <w:rStyle w:val="8"/>
          <w:rFonts w:ascii="Times New Roman" w:hAnsi="Times New Roman" w:cs="Times New Roman"/>
          <w:sz w:val="28"/>
          <w:szCs w:val="28"/>
        </w:rPr>
        <w:t xml:space="preserve">[17] </w:t>
      </w:r>
      <w:r>
        <w:rPr>
          <w:rFonts w:hint="eastAsia" w:ascii="Times New Roman" w:hAnsi="Times New Roman" w:eastAsia="黑体" w:cs="Times New Roman"/>
          <w:bCs/>
          <w:sz w:val="28"/>
          <w:szCs w:val="28"/>
        </w:rPr>
        <w:t>从事教育工作</w:t>
      </w:r>
    </w:p>
    <w:p>
      <w:pPr>
        <w:pStyle w:val="5"/>
        <w:widowControl w:val="0"/>
        <w:adjustRightInd w:val="0"/>
        <w:snapToGrid w:val="0"/>
        <w:spacing w:before="0" w:beforeAutospacing="0" w:after="0" w:afterAutospacing="0" w:line="460" w:lineRule="exact"/>
        <w:ind w:firstLine="560" w:firstLineChars="200"/>
        <w:jc w:val="both"/>
        <w:rPr>
          <w:rFonts w:ascii="Times New Roman" w:hAnsi="Times New Roman" w:cs="Times New Roman"/>
          <w:sz w:val="28"/>
          <w:szCs w:val="28"/>
        </w:rPr>
      </w:pPr>
      <w:r>
        <w:rPr>
          <w:rFonts w:hint="eastAsia" w:ascii="Times New Roman" w:hAnsi="Times New Roman" w:eastAsia="楷体" w:cs="Times New Roman"/>
          <w:kern w:val="2"/>
          <w:sz w:val="28"/>
          <w:szCs w:val="28"/>
        </w:rPr>
        <w:t>指在各级各类学校、教育机构中从事与教育有关的教育教学、研究、管理工作，包括继续攻读研究生等学历深造。</w:t>
      </w:r>
    </w:p>
    <w:p>
      <w:pPr>
        <w:pStyle w:val="2"/>
        <w:adjustRightInd w:val="0"/>
        <w:spacing w:line="460" w:lineRule="exact"/>
        <w:jc w:val="both"/>
        <w:rPr>
          <w:rFonts w:ascii="Times New Roman" w:hAnsi="Times New Roman"/>
          <w:bCs/>
          <w:sz w:val="28"/>
          <w:szCs w:val="28"/>
        </w:rPr>
      </w:pPr>
      <w:r>
        <w:rPr>
          <w:rStyle w:val="8"/>
          <w:rFonts w:ascii="Times New Roman" w:hAnsi="Times New Roman"/>
          <w:kern w:val="0"/>
          <w:sz w:val="28"/>
          <w:szCs w:val="28"/>
        </w:rPr>
        <w:t xml:space="preserve">[18] </w:t>
      </w:r>
      <w:r>
        <w:rPr>
          <w:rFonts w:hint="eastAsia" w:ascii="Times New Roman" w:hAnsi="Times New Roman" w:eastAsia="黑体"/>
          <w:bCs/>
          <w:sz w:val="28"/>
          <w:szCs w:val="28"/>
        </w:rPr>
        <w:t>教育服务经历</w:t>
      </w:r>
    </w:p>
    <w:p>
      <w:pPr>
        <w:pStyle w:val="2"/>
        <w:adjustRightInd w:val="0"/>
        <w:spacing w:line="460" w:lineRule="exact"/>
        <w:ind w:firstLine="560" w:firstLineChars="200"/>
        <w:jc w:val="both"/>
        <w:rPr>
          <w:rFonts w:ascii="Times New Roman" w:hAnsi="Times New Roman"/>
          <w:sz w:val="28"/>
          <w:szCs w:val="28"/>
        </w:rPr>
      </w:pPr>
      <w:r>
        <w:rPr>
          <w:rFonts w:hint="eastAsia" w:ascii="Times New Roman" w:hAnsi="Times New Roman" w:eastAsia="楷体"/>
          <w:sz w:val="28"/>
          <w:szCs w:val="28"/>
        </w:rPr>
        <w:t>指在中学</w:t>
      </w:r>
      <w:r>
        <w:rPr>
          <w:rFonts w:ascii="Times New Roman" w:hAnsi="Times New Roman" w:eastAsia="楷体"/>
          <w:sz w:val="28"/>
          <w:szCs w:val="28"/>
        </w:rPr>
        <w:t>/</w:t>
      </w:r>
      <w:r>
        <w:rPr>
          <w:rFonts w:hint="eastAsia" w:ascii="Times New Roman" w:hAnsi="Times New Roman" w:eastAsia="楷体"/>
          <w:sz w:val="28"/>
          <w:szCs w:val="28"/>
        </w:rPr>
        <w:t>小学</w:t>
      </w:r>
      <w:r>
        <w:rPr>
          <w:rFonts w:ascii="Times New Roman" w:hAnsi="Times New Roman" w:eastAsia="楷体"/>
          <w:sz w:val="28"/>
          <w:szCs w:val="28"/>
        </w:rPr>
        <w:t>/</w:t>
      </w:r>
      <w:r>
        <w:rPr>
          <w:rFonts w:hint="eastAsia" w:ascii="Times New Roman" w:hAnsi="Times New Roman" w:eastAsia="楷体"/>
          <w:sz w:val="28"/>
          <w:szCs w:val="28"/>
        </w:rPr>
        <w:t>幼儿园从事教学、管理、研究等工作。</w:t>
      </w:r>
    </w:p>
    <w:p>
      <w:pPr>
        <w:pStyle w:val="2"/>
        <w:adjustRightInd w:val="0"/>
        <w:spacing w:line="460" w:lineRule="exact"/>
        <w:jc w:val="both"/>
        <w:rPr>
          <w:rFonts w:ascii="Times New Roman" w:hAnsi="Times New Roman"/>
          <w:sz w:val="28"/>
          <w:szCs w:val="28"/>
        </w:rPr>
      </w:pPr>
      <w:r>
        <w:rPr>
          <w:rStyle w:val="8"/>
          <w:rFonts w:ascii="Times New Roman" w:hAnsi="Times New Roman"/>
          <w:kern w:val="0"/>
          <w:sz w:val="28"/>
          <w:szCs w:val="28"/>
        </w:rPr>
        <w:t xml:space="preserve">[19] </w:t>
      </w:r>
      <w:r>
        <w:rPr>
          <w:rFonts w:hint="eastAsia" w:ascii="Times New Roman" w:hAnsi="Times New Roman" w:eastAsia="黑体"/>
          <w:bCs/>
          <w:sz w:val="28"/>
          <w:szCs w:val="28"/>
        </w:rPr>
        <w:t>校外实践导师</w:t>
      </w:r>
    </w:p>
    <w:p>
      <w:pPr>
        <w:pStyle w:val="2"/>
        <w:adjustRightInd w:val="0"/>
        <w:spacing w:line="460" w:lineRule="exact"/>
        <w:ind w:firstLine="560" w:firstLineChars="200"/>
        <w:jc w:val="both"/>
        <w:rPr>
          <w:rFonts w:ascii="Times New Roman" w:hAnsi="Times New Roman"/>
          <w:sz w:val="28"/>
          <w:szCs w:val="28"/>
        </w:rPr>
      </w:pPr>
      <w:r>
        <w:rPr>
          <w:rFonts w:hint="eastAsia" w:ascii="Times New Roman" w:hAnsi="Times New Roman" w:eastAsia="楷体"/>
          <w:bCs/>
          <w:sz w:val="28"/>
          <w:szCs w:val="28"/>
        </w:rPr>
        <w:t>指校外中小学、幼儿园中指导师范生教育实践的教师。</w:t>
      </w:r>
      <w:r>
        <w:rPr>
          <w:rFonts w:hint="eastAsia" w:ascii="Times New Roman" w:hAnsi="Times New Roman" w:eastAsia="楷体"/>
          <w:sz w:val="28"/>
          <w:szCs w:val="28"/>
        </w:rPr>
        <w:t>实习生数与校外实践导师比例</w:t>
      </w:r>
      <w:r>
        <w:rPr>
          <w:rFonts w:ascii="Times New Roman" w:hAnsi="Times New Roman" w:eastAsia="楷体"/>
          <w:sz w:val="28"/>
          <w:szCs w:val="28"/>
        </w:rPr>
        <w:t>=</w:t>
      </w:r>
      <w:r>
        <w:rPr>
          <w:rFonts w:hint="eastAsia" w:ascii="Times New Roman" w:hAnsi="Times New Roman" w:eastAsia="楷体"/>
          <w:sz w:val="28"/>
          <w:szCs w:val="28"/>
        </w:rPr>
        <w:t>实习生数</w:t>
      </w:r>
      <w:r>
        <w:rPr>
          <w:rFonts w:ascii="Times New Roman" w:hAnsi="Times New Roman" w:eastAsia="楷体"/>
          <w:sz w:val="28"/>
          <w:szCs w:val="28"/>
        </w:rPr>
        <w:t>/</w:t>
      </w:r>
      <w:r>
        <w:rPr>
          <w:rFonts w:hint="eastAsia" w:ascii="Times New Roman" w:hAnsi="Times New Roman" w:eastAsia="楷体"/>
          <w:sz w:val="28"/>
          <w:szCs w:val="28"/>
        </w:rPr>
        <w:t>校外实践导师数。</w:t>
      </w:r>
    </w:p>
    <w:p>
      <w:pPr>
        <w:adjustRightInd w:val="0"/>
        <w:snapToGrid w:val="0"/>
        <w:spacing w:line="460" w:lineRule="exact"/>
        <w:rPr>
          <w:rFonts w:eastAsia="黑体"/>
          <w:bCs/>
          <w:sz w:val="28"/>
          <w:szCs w:val="28"/>
        </w:rPr>
      </w:pPr>
      <w:r>
        <w:rPr>
          <w:rStyle w:val="8"/>
          <w:kern w:val="0"/>
          <w:sz w:val="28"/>
          <w:szCs w:val="28"/>
        </w:rPr>
        <w:t>[20]</w:t>
      </w:r>
      <w:r>
        <w:rPr>
          <w:kern w:val="0"/>
          <w:sz w:val="28"/>
          <w:szCs w:val="28"/>
        </w:rPr>
        <w:t xml:space="preserve"> </w:t>
      </w:r>
      <w:r>
        <w:rPr>
          <w:rFonts w:hint="eastAsia" w:eastAsia="黑体"/>
          <w:bCs/>
          <w:sz w:val="28"/>
          <w:szCs w:val="28"/>
        </w:rPr>
        <w:t>幼儿园教育领域</w:t>
      </w:r>
    </w:p>
    <w:p>
      <w:pPr>
        <w:pStyle w:val="5"/>
        <w:widowControl w:val="0"/>
        <w:adjustRightInd w:val="0"/>
        <w:snapToGrid w:val="0"/>
        <w:spacing w:before="0" w:beforeAutospacing="0" w:after="0" w:afterAutospacing="0" w:line="460" w:lineRule="exact"/>
        <w:ind w:firstLine="560" w:firstLineChars="200"/>
        <w:jc w:val="both"/>
        <w:rPr>
          <w:rFonts w:ascii="Times New Roman" w:hAnsi="Times New Roman" w:eastAsia="楷体" w:cs="Times New Roman"/>
          <w:bCs/>
          <w:kern w:val="2"/>
          <w:sz w:val="28"/>
          <w:szCs w:val="28"/>
        </w:rPr>
      </w:pPr>
      <w:r>
        <w:rPr>
          <w:rFonts w:hint="eastAsia" w:ascii="Times New Roman" w:hAnsi="Times New Roman" w:eastAsia="楷体" w:cs="Times New Roman"/>
          <w:bCs/>
          <w:kern w:val="2"/>
          <w:sz w:val="28"/>
          <w:szCs w:val="28"/>
        </w:rPr>
        <w:t>《幼儿园教育指导纲要（试行）》规定，幼儿园的教育内容是全面的、启蒙性的，可以相对划分为健康、语言、社会、科学、艺术五个领域。</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ZDBiMGU1ZjY1ZTFhN2IzMWI1NDI2NjBhNGRkYjEifQ=="/>
  </w:docVars>
  <w:rsids>
    <w:rsidRoot w:val="00387CA6"/>
    <w:rsid w:val="001F346D"/>
    <w:rsid w:val="00387CA6"/>
    <w:rsid w:val="00701812"/>
    <w:rsid w:val="00947228"/>
    <w:rsid w:val="00A126D4"/>
    <w:rsid w:val="00E57F5E"/>
    <w:rsid w:val="00F811E4"/>
    <w:rsid w:val="75E26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nhideWhenUsed="0" w:uiPriority="0" w:semiHidden="0"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endnote text"/>
    <w:basedOn w:val="1"/>
    <w:link w:val="9"/>
    <w:uiPriority w:val="0"/>
    <w:pPr>
      <w:snapToGrid w:val="0"/>
      <w:jc w:val="left"/>
    </w:pPr>
    <w:rPr>
      <w:rFonts w:ascii="Calibri" w:hAnsi="Calibri" w:eastAsiaTheme="minorEastAsia" w:cstheme="minorBidi"/>
      <w:szCs w:val="22"/>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endnote reference"/>
    <w:uiPriority w:val="0"/>
    <w:rPr>
      <w:vertAlign w:val="superscript"/>
    </w:rPr>
  </w:style>
  <w:style w:type="character" w:customStyle="1" w:styleId="9">
    <w:name w:val="尾注文本 字符"/>
    <w:link w:val="2"/>
    <w:uiPriority w:val="0"/>
    <w:rPr>
      <w:rFonts w:ascii="Calibri" w:hAnsi="Calibri"/>
    </w:rPr>
  </w:style>
  <w:style w:type="character" w:customStyle="1" w:styleId="10">
    <w:name w:val="尾注文本 Char1"/>
    <w:basedOn w:val="7"/>
    <w:semiHidden/>
    <w:uiPriority w:val="99"/>
    <w:rPr>
      <w:rFonts w:ascii="Times New Roman" w:hAnsi="Times New Roman" w:eastAsia="宋体" w:cs="Times New Roman"/>
      <w:szCs w:val="24"/>
    </w:rPr>
  </w:style>
  <w:style w:type="character" w:customStyle="1" w:styleId="11">
    <w:name w:val="页眉 字符"/>
    <w:basedOn w:val="7"/>
    <w:link w:val="4"/>
    <w:uiPriority w:val="99"/>
    <w:rPr>
      <w:rFonts w:ascii="Times New Roman" w:hAnsi="Times New Roman" w:eastAsia="宋体" w:cs="Times New Roman"/>
      <w:sz w:val="18"/>
      <w:szCs w:val="18"/>
    </w:rPr>
  </w:style>
  <w:style w:type="character" w:customStyle="1" w:styleId="12">
    <w:name w:val="页脚 字符"/>
    <w:basedOn w:val="7"/>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1836</Words>
  <Characters>1916</Characters>
  <Lines>14</Lines>
  <Paragraphs>3</Paragraphs>
  <TotalTime>25</TotalTime>
  <ScaleCrop>false</ScaleCrop>
  <LinksUpToDate>false</LinksUpToDate>
  <CharactersWithSpaces>1941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2017-11-07T07:24:00Z</dcterms:created>
  <dc:creator>刘潇翰</dc:creator>
  <cp:lastModifiedBy>小燕子</cp:lastModifiedBy>
  <cp:lastPrinted>2023-09-12T02:16:44Z</cp:lastPrinted>
  <dcterms:modified xsi:type="dcterms:W3CDTF">2023-09-12T02:34:34Z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68DA4FEA3C2741319D9FD07603286667_12</vt:lpwstr>
  </property>
</Properties>
</file>