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161" w:rsidRDefault="000D37C9">
      <w:pPr>
        <w:spacing w:line="700" w:lineRule="exact"/>
        <w:jc w:val="center"/>
        <w:rPr>
          <w:rFonts w:ascii="方正小标宋_GBK" w:eastAsia="方正小标宋_GBK"/>
          <w:b/>
          <w:color w:val="000000"/>
          <w:spacing w:val="-11"/>
          <w:sz w:val="41"/>
          <w:szCs w:val="41"/>
        </w:rPr>
      </w:pPr>
      <w:bookmarkStart w:id="0" w:name="_GoBack"/>
      <w:bookmarkEnd w:id="0"/>
      <w:r>
        <w:rPr>
          <w:rFonts w:ascii="方正小标宋_GBK" w:eastAsia="方正小标宋_GBK" w:hint="eastAsia"/>
          <w:b/>
          <w:color w:val="000000"/>
          <w:spacing w:val="-11"/>
          <w:sz w:val="41"/>
          <w:szCs w:val="41"/>
        </w:rPr>
        <w:t>关于确定冉小娅等</w:t>
      </w:r>
      <w:r>
        <w:rPr>
          <w:rFonts w:ascii="方正小标宋_GBK" w:eastAsia="方正小标宋_GBK" w:hint="eastAsia"/>
          <w:b/>
          <w:color w:val="000000"/>
          <w:spacing w:val="-11"/>
          <w:sz w:val="41"/>
          <w:szCs w:val="41"/>
        </w:rPr>
        <w:t>164</w:t>
      </w:r>
      <w:r>
        <w:rPr>
          <w:rFonts w:ascii="方正小标宋_GBK" w:eastAsia="方正小标宋_GBK" w:hint="eastAsia"/>
          <w:b/>
          <w:color w:val="000000"/>
          <w:spacing w:val="-11"/>
          <w:sz w:val="41"/>
          <w:szCs w:val="41"/>
        </w:rPr>
        <w:t>位同志为入党积极分子的公示</w:t>
      </w:r>
    </w:p>
    <w:p w:rsidR="00E41161" w:rsidRDefault="00E41161">
      <w:pPr>
        <w:tabs>
          <w:tab w:val="left" w:pos="1050"/>
        </w:tabs>
        <w:jc w:val="center"/>
        <w:rPr>
          <w:rFonts w:ascii="宋体" w:hAnsi="宋体" w:cs="宋体"/>
          <w:b/>
          <w:bCs/>
          <w:sz w:val="28"/>
          <w:szCs w:val="28"/>
        </w:rPr>
      </w:pPr>
    </w:p>
    <w:p w:rsidR="00E41161" w:rsidRDefault="000D37C9">
      <w:pPr>
        <w:pStyle w:val="a5"/>
        <w:widowControl/>
        <w:ind w:firstLine="480"/>
        <w:jc w:val="both"/>
        <w:rPr>
          <w:rFonts w:ascii="方正仿宋_GBK" w:eastAsia="方正仿宋_GBK" w:cstheme="minorBidi"/>
          <w:color w:val="0D0D0D" w:themeColor="text1" w:themeTint="F2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根据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《中国共产党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党章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》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相关规定，结合支部组织发展计划和要求，经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2017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年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7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月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5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日支部党员大会讨论，确定冉小娅、豆欠余等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164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位同志为入党积极分子。</w:t>
      </w:r>
    </w:p>
    <w:p w:rsidR="00E41161" w:rsidRDefault="000D37C9">
      <w:pPr>
        <w:pStyle w:val="a5"/>
        <w:widowControl/>
        <w:ind w:firstLine="480"/>
        <w:jc w:val="both"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现予以公示（见附件），欢迎广大党员、教师、同学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在公示期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以书面或口头形式客观公正地向文化管理系党总支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反映公示对象道德品质、遵纪守法、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德才表现、廉洁自律</w:t>
      </w:r>
      <w:r>
        <w:rPr>
          <w:rFonts w:ascii="方正仿宋_GBK" w:eastAsia="方正仿宋_GBK" w:cstheme="minorBidi" w:hint="eastAsia"/>
          <w:color w:val="0D0D0D" w:themeColor="text1" w:themeTint="F2"/>
          <w:kern w:val="2"/>
          <w:sz w:val="30"/>
          <w:szCs w:val="30"/>
        </w:rPr>
        <w:t>、诚实守信等方面存在的问题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。</w:t>
      </w:r>
    </w:p>
    <w:p w:rsidR="00E41161" w:rsidRDefault="00E41161">
      <w:pPr>
        <w:pStyle w:val="a5"/>
        <w:widowControl/>
        <w:ind w:firstLine="480"/>
        <w:jc w:val="both"/>
        <w:rPr>
          <w:rFonts w:ascii="方正仿宋_GBK" w:eastAsia="方正仿宋_GBK" w:cstheme="minorBidi"/>
          <w:kern w:val="2"/>
          <w:sz w:val="30"/>
          <w:szCs w:val="30"/>
        </w:rPr>
      </w:pPr>
    </w:p>
    <w:p w:rsidR="00E41161" w:rsidRDefault="00E41161">
      <w:pPr>
        <w:tabs>
          <w:tab w:val="left" w:pos="1050"/>
        </w:tabs>
        <w:rPr>
          <w:rFonts w:ascii="宋体" w:hAnsi="宋体" w:cs="宋体"/>
          <w:b/>
          <w:bCs/>
          <w:sz w:val="28"/>
          <w:szCs w:val="28"/>
        </w:rPr>
      </w:pPr>
    </w:p>
    <w:p w:rsidR="00E41161" w:rsidRDefault="000D37C9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宋体" w:hAnsi="宋体" w:cs="宋体" w:hint="eastAsia"/>
        </w:rPr>
        <w:t xml:space="preserve">    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公示时间：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2017.7.5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－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201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7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.7.13</w:t>
      </w:r>
    </w:p>
    <w:p w:rsidR="00E41161" w:rsidRDefault="000D37C9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kern w:val="2"/>
          <w:sz w:val="30"/>
          <w:szCs w:val="30"/>
        </w:rPr>
        <w:t xml:space="preserve">   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受理情况反映的部门：文化管理系党总支</w:t>
      </w:r>
    </w:p>
    <w:p w:rsidR="00E41161" w:rsidRDefault="000D37C9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kern w:val="2"/>
          <w:sz w:val="30"/>
          <w:szCs w:val="30"/>
        </w:rPr>
        <w:t xml:space="preserve">   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联系人：任肖、陶丹</w:t>
      </w:r>
    </w:p>
    <w:p w:rsidR="00E41161" w:rsidRDefault="000D37C9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kern w:val="2"/>
          <w:sz w:val="30"/>
          <w:szCs w:val="30"/>
        </w:rPr>
        <w:t xml:space="preserve">   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联系电话：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18996851224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、</w:t>
      </w:r>
      <w:r>
        <w:rPr>
          <w:rFonts w:ascii="方正仿宋_GBK" w:eastAsia="方正仿宋_GBK" w:cstheme="minorBidi" w:hint="eastAsia"/>
          <w:kern w:val="2"/>
          <w:sz w:val="30"/>
          <w:szCs w:val="30"/>
        </w:rPr>
        <w:t>15215139950</w:t>
      </w:r>
    </w:p>
    <w:p w:rsidR="00E41161" w:rsidRDefault="000D37C9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kern w:val="2"/>
          <w:sz w:val="30"/>
          <w:szCs w:val="30"/>
        </w:rPr>
        <w:t xml:space="preserve">   </w:t>
      </w:r>
      <w:hyperlink r:id="rId6" w:history="1">
        <w:r>
          <w:rPr>
            <w:rFonts w:ascii="方正仿宋_GBK" w:eastAsia="方正仿宋_GBK" w:cstheme="minorBidi" w:hint="eastAsia"/>
            <w:kern w:val="2"/>
            <w:sz w:val="30"/>
            <w:szCs w:val="30"/>
          </w:rPr>
          <w:t>电子邮箱：</w:t>
        </w:r>
        <w:r>
          <w:rPr>
            <w:rFonts w:ascii="方正仿宋_GBK" w:eastAsia="方正仿宋_GBK" w:cstheme="minorBidi" w:hint="eastAsia"/>
            <w:kern w:val="2"/>
            <w:sz w:val="30"/>
            <w:szCs w:val="30"/>
          </w:rPr>
          <w:t>476846237@qq.com</w:t>
        </w:r>
      </w:hyperlink>
    </w:p>
    <w:p w:rsidR="00E41161" w:rsidRDefault="00E41161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E41161" w:rsidRDefault="00E41161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E41161" w:rsidRDefault="00E41161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E41161" w:rsidRDefault="00E41161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E41161" w:rsidRDefault="00E41161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</w:p>
    <w:p w:rsidR="00E41161" w:rsidRDefault="000D37C9">
      <w:pPr>
        <w:pStyle w:val="a5"/>
        <w:widowControl/>
        <w:rPr>
          <w:rFonts w:ascii="方正仿宋_GBK" w:eastAsia="方正仿宋_GBK" w:cstheme="minorBidi"/>
          <w:kern w:val="2"/>
          <w:sz w:val="30"/>
          <w:szCs w:val="30"/>
        </w:rPr>
      </w:pPr>
      <w:r>
        <w:rPr>
          <w:rFonts w:ascii="方正仿宋_GBK" w:eastAsia="方正仿宋_GBK" w:cstheme="minorBidi" w:hint="eastAsia"/>
          <w:kern w:val="2"/>
          <w:sz w:val="30"/>
          <w:szCs w:val="30"/>
        </w:rPr>
        <w:lastRenderedPageBreak/>
        <w:t>附件：入党积极分子名单</w:t>
      </w:r>
    </w:p>
    <w:tbl>
      <w:tblPr>
        <w:tblStyle w:val="a6"/>
        <w:tblW w:w="9030" w:type="dxa"/>
        <w:tblInd w:w="-281" w:type="dxa"/>
        <w:tblLayout w:type="fixed"/>
        <w:tblLook w:val="04A0" w:firstRow="1" w:lastRow="0" w:firstColumn="1" w:lastColumn="0" w:noHBand="0" w:noVBand="1"/>
      </w:tblPr>
      <w:tblGrid>
        <w:gridCol w:w="915"/>
        <w:gridCol w:w="1440"/>
        <w:gridCol w:w="1275"/>
        <w:gridCol w:w="3420"/>
        <w:gridCol w:w="1980"/>
      </w:tblGrid>
      <w:tr w:rsidR="00E41161">
        <w:trPr>
          <w:trHeight w:val="90"/>
        </w:trPr>
        <w:tc>
          <w:tcPr>
            <w:tcW w:w="915" w:type="dxa"/>
          </w:tcPr>
          <w:p w:rsidR="00E41161" w:rsidRDefault="000D37C9">
            <w:pPr>
              <w:widowControl/>
              <w:spacing w:before="100" w:beforeAutospacing="1" w:after="100" w:afterAutospacing="1"/>
              <w:jc w:val="center"/>
              <w:rPr>
                <w:rFonts w:ascii="方正仿宋_GBK" w:eastAsia="方正仿宋_GBK" w:hAnsi="Arial" w:cs="Arial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D0D0D" w:themeColor="text1" w:themeTint="F2"/>
                <w:kern w:val="0"/>
                <w:sz w:val="24"/>
              </w:rPr>
              <w:t>序号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b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D0D0D" w:themeColor="text1" w:themeTint="F2"/>
                <w:kern w:val="0"/>
                <w:sz w:val="24"/>
              </w:rPr>
              <w:t>姓名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b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D0D0D" w:themeColor="text1" w:themeTint="F2"/>
                <w:kern w:val="0"/>
                <w:sz w:val="24"/>
              </w:rPr>
              <w:t>性别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b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D0D0D" w:themeColor="text1" w:themeTint="F2"/>
                <w:kern w:val="0"/>
                <w:sz w:val="24"/>
              </w:rPr>
              <w:t>专业（或所在部门）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spacing w:before="100" w:beforeAutospacing="1" w:after="100" w:afterAutospacing="1"/>
              <w:jc w:val="center"/>
              <w:rPr>
                <w:rFonts w:ascii="方正仿宋_GBK" w:eastAsia="方正仿宋_GBK" w:hAnsi="宋体" w:cs="宋体"/>
                <w:b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D0D0D" w:themeColor="text1" w:themeTint="F2"/>
                <w:kern w:val="0"/>
                <w:sz w:val="24"/>
              </w:rPr>
              <w:t>入党第一介绍人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冉小娅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豆欠余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屈明珠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谭宁波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胡兰英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周林林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刘芳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李张敏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黄钰霞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汪红君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唐红悦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蔡红梅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黄兴娟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陈阳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许能兵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孙爽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17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吴玉玲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18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江航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张友洪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20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常春燕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级公共文化服务与管理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21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赵杉杉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级公共文化服务与管理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李红梅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级公共文化服务与管理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王玲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级公共文化服务与管理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徐志若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级公共文化服务与管理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任肖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黄舒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杨荣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26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罗金林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杨荣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27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陈红群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杨荣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28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谭羽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杨荣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29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田亚琴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级文化市场经营与管理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杨荣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30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庞春萍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级文化市场经营与管理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杨荣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费远忍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文化市场经营与管理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lang w:bidi="ar"/>
              </w:rPr>
              <w:t>杨荣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向欣怡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甘雪蓉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冯婷婷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35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陈太强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36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冉艳宏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37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张双双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38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骆严红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39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秦丽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40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陈家琴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级戏剧影视表演（播音主持）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41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钱辛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级戏剧影视表演（播音主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持）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42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何符溶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级戏剧影视表演（播音主持）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43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谭艳萍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李媛媛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明霞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46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钟文婷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47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王成静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48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陈岭枝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49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张璇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50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陈亭亭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51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黄丹丹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52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郑瑷湘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级新闻采编与制作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陶丹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53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罗雪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54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王重阳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55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向伟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56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梅粤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57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郑亚丽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58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黄娅玲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59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杨凤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60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吴思宇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61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黄寒燕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62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代巧玲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63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杨美蓉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64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 w:cs="方正仿宋_GBK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刘泽银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 w:cs="方正仿宋_GBK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65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李家琼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级文物修复与保护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吴汶书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66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李丹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67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冉石婷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68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 w:cs="方正仿宋_GBK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王榕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 w:cs="方正仿宋_GBK"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69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史丽君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70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朱钦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欧爽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冉玲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吴玉莲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刘多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75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刘欢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76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宋体" w:cs="宋体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张兴娅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77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李婷婷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78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刁一勤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79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黎杰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80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周婷婷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王珍梅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梁梅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黄婷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84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杨小力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85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周静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86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向兵良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87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赵先盈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曾文思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88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曾凤杨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89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叶清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90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曾丽娟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杨雨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/>
                <w:color w:val="0D0D0D" w:themeColor="text1" w:themeTint="F2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冯仁格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雷雨露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95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朱璐璐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96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梅婧芳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97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李红梅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98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刘丹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Style w:val="font31"/>
                <w:lang w:bidi="ar"/>
              </w:rPr>
              <w:t>16</w:t>
            </w:r>
            <w:r>
              <w:rPr>
                <w:rStyle w:val="font31"/>
                <w:lang w:bidi="ar"/>
              </w:rPr>
              <w:t>级导游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99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吴巧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钟玄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赵天琴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李霜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谢天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周鹏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105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江鹏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106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曾一铭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107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何小梅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谢辉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109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高春然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余娜娜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童鑫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陈悦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熊青青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汤晓云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姜林君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胡丹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牛星月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胡倩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119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芶燕琴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王渝花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李琴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王丽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诸明娅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杨定慧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罗丽垚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刘栓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128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陈小妹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129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金良艳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杨晏骄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陈静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FFFFFF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杨秀成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肖承君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刘玉玲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曹树勤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刘丹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段春芳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丁琪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139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王钰琳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李彩鸿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向杨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谭明杰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王丽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廖子银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夏薇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冯选梅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147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毛盈丹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148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李玉霞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149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陈新宇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lastRenderedPageBreak/>
              <w:t>150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黄雨涵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罗睿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邱家乐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韩乾彬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154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徐嘉明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155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蒋媛媛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156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文春燕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157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刘娜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158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周颖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159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田旭卫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160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宋思静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161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罗珍珍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shd w:val="clear" w:color="auto" w:fill="auto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162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李发丽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163</w:t>
            </w:r>
          </w:p>
        </w:tc>
        <w:tc>
          <w:tcPr>
            <w:tcW w:w="144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周建</w:t>
            </w:r>
          </w:p>
        </w:tc>
        <w:tc>
          <w:tcPr>
            <w:tcW w:w="1275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男</w:t>
            </w:r>
          </w:p>
        </w:tc>
        <w:tc>
          <w:tcPr>
            <w:tcW w:w="342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  <w:shd w:val="clear" w:color="auto" w:fill="auto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  <w:tr w:rsidR="00E41161">
        <w:tc>
          <w:tcPr>
            <w:tcW w:w="915" w:type="dxa"/>
            <w:vAlign w:val="center"/>
          </w:tcPr>
          <w:p w:rsidR="00E41161" w:rsidRDefault="000D37C9">
            <w:pPr>
              <w:widowControl/>
              <w:jc w:val="center"/>
              <w:textAlignment w:val="center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164</w:t>
            </w:r>
          </w:p>
        </w:tc>
        <w:tc>
          <w:tcPr>
            <w:tcW w:w="144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胡婷婷</w:t>
            </w:r>
          </w:p>
        </w:tc>
        <w:tc>
          <w:tcPr>
            <w:tcW w:w="1275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女</w:t>
            </w:r>
          </w:p>
        </w:tc>
        <w:tc>
          <w:tcPr>
            <w:tcW w:w="342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16</w:t>
            </w:r>
            <w:r>
              <w:rPr>
                <w:rFonts w:ascii="方正仿宋_GBK" w:eastAsia="方正仿宋_GBK" w:hAnsi="方正仿宋_GBK" w:cs="方正仿宋_GBK"/>
                <w:color w:val="0C0C0C"/>
                <w:kern w:val="0"/>
                <w:sz w:val="24"/>
                <w:lang w:bidi="ar"/>
              </w:rPr>
              <w:t>级旅游管理</w:t>
            </w:r>
          </w:p>
        </w:tc>
        <w:tc>
          <w:tcPr>
            <w:tcW w:w="1980" w:type="dxa"/>
          </w:tcPr>
          <w:p w:rsidR="00E41161" w:rsidRDefault="000D37C9">
            <w:pPr>
              <w:widowControl/>
              <w:jc w:val="center"/>
              <w:textAlignment w:val="top"/>
              <w:rPr>
                <w:rFonts w:ascii="方正仿宋_GBK" w:eastAsia="方正仿宋_GBK" w:hAnsiTheme="majorEastAsia"/>
                <w:bCs/>
                <w:color w:val="0D0D0D" w:themeColor="text1" w:themeTint="F2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C0C0C"/>
                <w:kern w:val="0"/>
                <w:sz w:val="24"/>
                <w:lang w:bidi="ar"/>
              </w:rPr>
              <w:t>马洪洲</w:t>
            </w:r>
          </w:p>
        </w:tc>
      </w:tr>
    </w:tbl>
    <w:p w:rsidR="00E41161" w:rsidRDefault="00E41161"/>
    <w:sectPr w:rsidR="00E4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97722"/>
    <w:rsid w:val="00000460"/>
    <w:rsid w:val="000D37C9"/>
    <w:rsid w:val="001F371D"/>
    <w:rsid w:val="007E6900"/>
    <w:rsid w:val="00C5524C"/>
    <w:rsid w:val="00E41161"/>
    <w:rsid w:val="00FB517D"/>
    <w:rsid w:val="02177200"/>
    <w:rsid w:val="04246E3E"/>
    <w:rsid w:val="04E25FF2"/>
    <w:rsid w:val="057C39D3"/>
    <w:rsid w:val="06F857AE"/>
    <w:rsid w:val="07722F4E"/>
    <w:rsid w:val="07D65833"/>
    <w:rsid w:val="0AB22C80"/>
    <w:rsid w:val="0D5218C1"/>
    <w:rsid w:val="0E5C4703"/>
    <w:rsid w:val="14381B12"/>
    <w:rsid w:val="1617053E"/>
    <w:rsid w:val="1A3F51DC"/>
    <w:rsid w:val="1DB93927"/>
    <w:rsid w:val="20764B27"/>
    <w:rsid w:val="236E0088"/>
    <w:rsid w:val="26D66FBB"/>
    <w:rsid w:val="29D13210"/>
    <w:rsid w:val="29D50B77"/>
    <w:rsid w:val="2A5150DE"/>
    <w:rsid w:val="2AC0552B"/>
    <w:rsid w:val="2DC97722"/>
    <w:rsid w:val="2E9F00AF"/>
    <w:rsid w:val="2FBC464E"/>
    <w:rsid w:val="31362041"/>
    <w:rsid w:val="369B3287"/>
    <w:rsid w:val="3B0E4FEB"/>
    <w:rsid w:val="3CF91856"/>
    <w:rsid w:val="3E6A4648"/>
    <w:rsid w:val="41342B24"/>
    <w:rsid w:val="432D090E"/>
    <w:rsid w:val="43EB5C20"/>
    <w:rsid w:val="48797931"/>
    <w:rsid w:val="48A013C8"/>
    <w:rsid w:val="4AE36CFB"/>
    <w:rsid w:val="4B6503DD"/>
    <w:rsid w:val="4BD63198"/>
    <w:rsid w:val="4D124E20"/>
    <w:rsid w:val="4D3E5163"/>
    <w:rsid w:val="4F246B1E"/>
    <w:rsid w:val="4F5977C8"/>
    <w:rsid w:val="519F1A6F"/>
    <w:rsid w:val="5528782C"/>
    <w:rsid w:val="558878B3"/>
    <w:rsid w:val="575B7B15"/>
    <w:rsid w:val="5A2F01C7"/>
    <w:rsid w:val="5F2C224F"/>
    <w:rsid w:val="605D7AFF"/>
    <w:rsid w:val="638D06A5"/>
    <w:rsid w:val="64646205"/>
    <w:rsid w:val="66AA13F4"/>
    <w:rsid w:val="66EE1F1A"/>
    <w:rsid w:val="68B0472A"/>
    <w:rsid w:val="69A10B3A"/>
    <w:rsid w:val="6B072D00"/>
    <w:rsid w:val="6BA074AB"/>
    <w:rsid w:val="6C943E00"/>
    <w:rsid w:val="6F1C11DA"/>
    <w:rsid w:val="6F5D1C2D"/>
    <w:rsid w:val="734C4C59"/>
    <w:rsid w:val="767F042F"/>
    <w:rsid w:val="7AC5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3F3F3F"/>
      <w:u w:val="none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default"/>
      <w:color w:val="0C0C0C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default"/>
      <w:color w:val="0C0C0C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Pr>
      <w:color w:val="3F3F3F"/>
      <w:u w:val="none"/>
    </w:rPr>
  </w:style>
  <w:style w:type="table" w:customStyle="1" w:styleId="1">
    <w:name w:val="网格型1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方正仿宋_GBK" w:eastAsia="方正仿宋_GBK" w:hAnsi="方正仿宋_GBK" w:cs="方正仿宋_GBK" w:hint="default"/>
      <w:color w:val="0C0C0C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方正仿宋_GBK" w:eastAsia="方正仿宋_GBK" w:hAnsi="方正仿宋_GBK" w:cs="方正仿宋_GBK" w:hint="default"/>
      <w:color w:val="0C0C0C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%E4%B9%9F%E5%8F%AF%E5%8F%91%E5%88%B0%E6%80%BB%E6%94%AF%E7%94%B5%E5%AD%90%E9%82%AE%E7%AE%B1cqyxdzz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631</Words>
  <Characters>3601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2019-05-31T12:58:00Z</dcterms:created>
  <dcterms:modified xsi:type="dcterms:W3CDTF">2019-05-31T12:58:00Z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